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976D5" w14:textId="77777777" w:rsidR="0083496A" w:rsidRPr="00DD76DA" w:rsidRDefault="0083496A" w:rsidP="0083496A">
      <w:pPr>
        <w:spacing w:after="200" w:line="276" w:lineRule="auto"/>
        <w:jc w:val="center"/>
        <w:rPr>
          <w:rFonts w:ascii="LouguiyaFR" w:eastAsia="Calibri" w:hAnsi="LouguiyaFR" w:cs="Calibri"/>
          <w:kern w:val="0"/>
          <w:sz w:val="36"/>
          <w:szCs w:val="36"/>
          <w14:ligatures w14:val="none"/>
        </w:rPr>
      </w:pPr>
      <w:r w:rsidRPr="00DD76DA">
        <w:rPr>
          <w:rFonts w:ascii="LouguiyaFR" w:eastAsia="Calibri" w:hAnsi="LouguiyaFR" w:cs="Calibri"/>
          <w:kern w:val="0"/>
          <w:sz w:val="36"/>
          <w:szCs w:val="36"/>
          <w14:ligatures w14:val="none"/>
        </w:rPr>
        <w:t>REPUBLIQUE ISLAMIQUE DE MAURITANIE</w:t>
      </w:r>
    </w:p>
    <w:p w14:paraId="7930C695" w14:textId="77777777" w:rsidR="0083496A" w:rsidRPr="00DD76DA" w:rsidRDefault="0083496A" w:rsidP="0083496A">
      <w:pPr>
        <w:spacing w:after="200" w:line="276" w:lineRule="auto"/>
        <w:jc w:val="center"/>
        <w:rPr>
          <w:rFonts w:ascii="LouguiyaFR" w:eastAsia="Calibri" w:hAnsi="LouguiyaFR" w:cs="Calibri"/>
          <w:kern w:val="0"/>
          <w:sz w:val="36"/>
          <w:szCs w:val="36"/>
          <w14:ligatures w14:val="none"/>
        </w:rPr>
      </w:pPr>
      <w:r w:rsidRPr="00DD76DA">
        <w:rPr>
          <w:rFonts w:ascii="LouguiyaFR" w:eastAsia="Calibri" w:hAnsi="LouguiyaFR" w:cs="Calibri"/>
          <w:kern w:val="0"/>
          <w:sz w:val="36"/>
          <w:szCs w:val="36"/>
          <w14:ligatures w14:val="none"/>
        </w:rPr>
        <w:t>Honneur - Fraternité – Justice</w:t>
      </w:r>
    </w:p>
    <w:p w14:paraId="5F3F300C" w14:textId="77777777" w:rsidR="0083496A" w:rsidRPr="00DD76DA" w:rsidRDefault="0083496A" w:rsidP="0083496A">
      <w:pPr>
        <w:jc w:val="center"/>
        <w:rPr>
          <w:b/>
          <w:bCs/>
          <w:sz w:val="24"/>
          <w:szCs w:val="24"/>
        </w:rPr>
      </w:pPr>
      <w:r w:rsidRPr="00F80101">
        <w:rPr>
          <w:rFonts w:cs="Calibri"/>
          <w:noProof/>
          <w:sz w:val="24"/>
          <w:szCs w:val="24"/>
          <w:lang w:eastAsia="fr-FR"/>
        </w:rPr>
        <w:drawing>
          <wp:anchor distT="0" distB="0" distL="114300" distR="114300" simplePos="0" relativeHeight="251658240" behindDoc="0" locked="0" layoutInCell="1" allowOverlap="1" wp14:anchorId="55BE734E" wp14:editId="065A4D48">
            <wp:simplePos x="0" y="0"/>
            <wp:positionH relativeFrom="margin">
              <wp:align>center</wp:align>
            </wp:positionH>
            <wp:positionV relativeFrom="paragraph">
              <wp:posOffset>5715</wp:posOffset>
            </wp:positionV>
            <wp:extent cx="1190625" cy="1190625"/>
            <wp:effectExtent l="0" t="0" r="9525" b="9525"/>
            <wp:wrapNone/>
            <wp:docPr id="2"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pic:spPr>
                </pic:pic>
              </a:graphicData>
            </a:graphic>
          </wp:anchor>
        </w:drawing>
      </w:r>
    </w:p>
    <w:p w14:paraId="1623282F" w14:textId="77777777" w:rsidR="0083496A" w:rsidRPr="00DD76DA" w:rsidRDefault="0083496A" w:rsidP="0083496A">
      <w:pPr>
        <w:jc w:val="center"/>
        <w:rPr>
          <w:b/>
          <w:bCs/>
          <w:sz w:val="24"/>
          <w:szCs w:val="24"/>
        </w:rPr>
      </w:pPr>
    </w:p>
    <w:p w14:paraId="5DC95529" w14:textId="77777777" w:rsidR="0083496A" w:rsidRPr="00DD76DA" w:rsidRDefault="0083496A" w:rsidP="0083496A">
      <w:pPr>
        <w:jc w:val="center"/>
        <w:rPr>
          <w:b/>
          <w:bCs/>
          <w:sz w:val="24"/>
          <w:szCs w:val="24"/>
        </w:rPr>
      </w:pPr>
    </w:p>
    <w:p w14:paraId="0FD4E7AE" w14:textId="77777777" w:rsidR="0083496A" w:rsidRPr="00DD76DA" w:rsidRDefault="0083496A" w:rsidP="0083496A">
      <w:pPr>
        <w:jc w:val="center"/>
        <w:rPr>
          <w:b/>
          <w:bCs/>
          <w:sz w:val="24"/>
          <w:szCs w:val="24"/>
        </w:rPr>
      </w:pPr>
    </w:p>
    <w:p w14:paraId="75C8B342" w14:textId="77777777" w:rsidR="0083496A" w:rsidRPr="00DD76DA" w:rsidRDefault="0083496A" w:rsidP="0083496A">
      <w:pPr>
        <w:spacing w:after="200" w:line="276" w:lineRule="auto"/>
        <w:jc w:val="center"/>
        <w:rPr>
          <w:rFonts w:ascii="LouguiyaFR" w:eastAsia="Calibri" w:hAnsi="LouguiyaFR" w:cs="Louguiya"/>
          <w:b/>
          <w:bCs/>
          <w:kern w:val="0"/>
          <w:sz w:val="32"/>
          <w:szCs w:val="32"/>
          <w14:ligatures w14:val="none"/>
        </w:rPr>
      </w:pPr>
      <w:r w:rsidRPr="00DD76DA">
        <w:rPr>
          <w:rFonts w:ascii="LouguiyaFR" w:eastAsia="Calibri" w:hAnsi="LouguiyaFR" w:cs="Louguiya"/>
          <w:b/>
          <w:bCs/>
          <w:kern w:val="0"/>
          <w:sz w:val="32"/>
          <w:szCs w:val="32"/>
          <w14:ligatures w14:val="none"/>
        </w:rPr>
        <w:t>Ministère de l’Energie et du Pétrole (MEP)</w:t>
      </w:r>
    </w:p>
    <w:p w14:paraId="2F91DBE5" w14:textId="77777777" w:rsidR="0083496A" w:rsidRPr="00DD76DA" w:rsidRDefault="0083496A" w:rsidP="0083496A">
      <w:pPr>
        <w:spacing w:after="200" w:line="276" w:lineRule="auto"/>
        <w:jc w:val="center"/>
        <w:rPr>
          <w:rFonts w:ascii="LouguiyaFR" w:eastAsia="Calibri" w:hAnsi="LouguiyaFR" w:cs="Louguiya"/>
          <w:b/>
          <w:bCs/>
          <w:kern w:val="0"/>
          <w:sz w:val="32"/>
          <w:szCs w:val="32"/>
          <w14:ligatures w14:val="none"/>
        </w:rPr>
      </w:pPr>
    </w:p>
    <w:p w14:paraId="6474EB9E" w14:textId="748003C2" w:rsidR="008D5FED" w:rsidRPr="00B16A63" w:rsidRDefault="0AD2620E" w:rsidP="0073EC21">
      <w:pPr>
        <w:spacing w:after="0" w:line="276" w:lineRule="auto"/>
        <w:jc w:val="center"/>
        <w:rPr>
          <w:rFonts w:ascii="LouguiyaFR" w:eastAsia="Calibri" w:hAnsi="LouguiyaFR" w:cs="Louguiya"/>
          <w:b/>
          <w:bCs/>
          <w:sz w:val="36"/>
          <w:szCs w:val="36"/>
        </w:rPr>
      </w:pPr>
      <w:r w:rsidRPr="00B16A63">
        <w:rPr>
          <w:rFonts w:ascii="LouguiyaFR" w:eastAsia="Calibri" w:hAnsi="LouguiyaFR" w:cs="Louguiya"/>
          <w:b/>
          <w:bCs/>
          <w:sz w:val="36"/>
          <w:szCs w:val="36"/>
        </w:rPr>
        <w:t>Sénégal - Mauritanie, projet d’</w:t>
      </w:r>
      <w:r w:rsidR="00433D9E" w:rsidRPr="00B16A63">
        <w:rPr>
          <w:rFonts w:ascii="LouguiyaFR" w:eastAsia="Calibri" w:hAnsi="LouguiyaFR" w:cs="Louguiya"/>
          <w:b/>
          <w:bCs/>
          <w:sz w:val="36"/>
          <w:szCs w:val="36"/>
        </w:rPr>
        <w:t>Accélération</w:t>
      </w:r>
      <w:r w:rsidRPr="00B16A63">
        <w:rPr>
          <w:rFonts w:ascii="LouguiyaFR" w:eastAsia="Calibri" w:hAnsi="LouguiyaFR" w:cs="Louguiya"/>
          <w:b/>
          <w:bCs/>
          <w:sz w:val="36"/>
          <w:szCs w:val="36"/>
        </w:rPr>
        <w:t xml:space="preserve"> des </w:t>
      </w:r>
      <w:r w:rsidR="00433D9E" w:rsidRPr="00B16A63">
        <w:rPr>
          <w:rFonts w:ascii="LouguiyaFR" w:eastAsia="Calibri" w:hAnsi="LouguiyaFR" w:cs="Louguiya"/>
          <w:b/>
          <w:bCs/>
          <w:sz w:val="36"/>
          <w:szCs w:val="36"/>
        </w:rPr>
        <w:t>R</w:t>
      </w:r>
      <w:r w:rsidRPr="00B16A63">
        <w:rPr>
          <w:rFonts w:ascii="LouguiyaFR" w:eastAsia="Calibri" w:hAnsi="LouguiyaFR" w:cs="Louguiya"/>
          <w:b/>
          <w:bCs/>
          <w:sz w:val="36"/>
          <w:szCs w:val="36"/>
        </w:rPr>
        <w:t xml:space="preserve">essources </w:t>
      </w:r>
      <w:r w:rsidR="00433D9E" w:rsidRPr="00B16A63">
        <w:rPr>
          <w:rFonts w:ascii="LouguiyaFR" w:eastAsia="Calibri" w:hAnsi="LouguiyaFR" w:cs="Louguiya"/>
          <w:b/>
          <w:bCs/>
          <w:sz w:val="36"/>
          <w:szCs w:val="36"/>
        </w:rPr>
        <w:t>G</w:t>
      </w:r>
      <w:r w:rsidRPr="00B16A63">
        <w:rPr>
          <w:rFonts w:ascii="LouguiyaFR" w:eastAsia="Calibri" w:hAnsi="LouguiyaFR" w:cs="Louguiya"/>
          <w:b/>
          <w:bCs/>
          <w:sz w:val="36"/>
          <w:szCs w:val="36"/>
        </w:rPr>
        <w:t>azières au service de la transformation économique (SMART GA</w:t>
      </w:r>
      <w:r w:rsidR="4107AD92" w:rsidRPr="00B16A63">
        <w:rPr>
          <w:rFonts w:ascii="LouguiyaFR" w:eastAsia="Calibri" w:hAnsi="LouguiyaFR" w:cs="Louguiya"/>
          <w:b/>
          <w:bCs/>
          <w:sz w:val="36"/>
          <w:szCs w:val="36"/>
        </w:rPr>
        <w:t>S)</w:t>
      </w:r>
      <w:r w:rsidR="0083496A" w:rsidRPr="00B16A63">
        <w:rPr>
          <w:rFonts w:ascii="LouguiyaFR" w:eastAsia="Calibri" w:hAnsi="LouguiyaFR" w:cs="Louguiya"/>
          <w:b/>
          <w:bCs/>
          <w:sz w:val="36"/>
          <w:szCs w:val="36"/>
        </w:rPr>
        <w:t xml:space="preserve"> </w:t>
      </w:r>
    </w:p>
    <w:p w14:paraId="673FA82A" w14:textId="54413401" w:rsidR="0083496A" w:rsidRPr="00B16A63" w:rsidRDefault="0083496A" w:rsidP="0073EC21">
      <w:pPr>
        <w:spacing w:after="0" w:line="276" w:lineRule="auto"/>
        <w:jc w:val="center"/>
        <w:rPr>
          <w:rFonts w:ascii="LouguiyaFR" w:eastAsia="Calibri" w:hAnsi="LouguiyaFR" w:cs="Louguiya"/>
          <w:b/>
          <w:bCs/>
          <w:sz w:val="36"/>
          <w:szCs w:val="36"/>
        </w:rPr>
      </w:pPr>
      <w:r w:rsidRPr="00B16A63">
        <w:rPr>
          <w:rFonts w:ascii="LouguiyaFR" w:eastAsia="Calibri" w:hAnsi="LouguiyaFR" w:cs="Louguiya"/>
          <w:b/>
          <w:bCs/>
          <w:sz w:val="36"/>
          <w:szCs w:val="36"/>
        </w:rPr>
        <w:t>Phase 1 (P516</w:t>
      </w:r>
      <w:r w:rsidR="62596DFD" w:rsidRPr="00B16A63">
        <w:rPr>
          <w:rFonts w:ascii="LouguiyaFR" w:eastAsia="Calibri" w:hAnsi="LouguiyaFR" w:cs="Louguiya"/>
          <w:b/>
          <w:bCs/>
          <w:sz w:val="36"/>
          <w:szCs w:val="36"/>
        </w:rPr>
        <w:t>258</w:t>
      </w:r>
      <w:r w:rsidRPr="00B16A63">
        <w:rPr>
          <w:rFonts w:ascii="LouguiyaFR" w:eastAsia="Calibri" w:hAnsi="LouguiyaFR" w:cs="Louguiya"/>
          <w:b/>
          <w:bCs/>
          <w:sz w:val="36"/>
          <w:szCs w:val="36"/>
        </w:rPr>
        <w:t>)</w:t>
      </w:r>
    </w:p>
    <w:p w14:paraId="10234407" w14:textId="77777777" w:rsidR="0083496A" w:rsidRPr="00DD76DA" w:rsidRDefault="0083496A" w:rsidP="0083496A">
      <w:pPr>
        <w:jc w:val="center"/>
        <w:rPr>
          <w:b/>
          <w:bCs/>
          <w:sz w:val="24"/>
          <w:szCs w:val="24"/>
        </w:rPr>
      </w:pPr>
    </w:p>
    <w:p w14:paraId="33F5822E" w14:textId="77777777" w:rsidR="0083496A" w:rsidRPr="00DD76DA" w:rsidRDefault="0083496A" w:rsidP="0083496A">
      <w:pPr>
        <w:jc w:val="center"/>
        <w:rPr>
          <w:b/>
          <w:bCs/>
          <w:sz w:val="24"/>
          <w:szCs w:val="24"/>
        </w:rPr>
      </w:pPr>
    </w:p>
    <w:p w14:paraId="6C8FFD0B" w14:textId="77777777" w:rsidR="0083496A" w:rsidRPr="00B16A63" w:rsidRDefault="0083496A" w:rsidP="00433D9E">
      <w:pPr>
        <w:pStyle w:val="Title"/>
        <w:shd w:val="clear" w:color="auto" w:fill="D9D9D9" w:themeFill="background1" w:themeFillShade="D9"/>
        <w:ind w:left="394"/>
        <w:jc w:val="center"/>
        <w:rPr>
          <w:rFonts w:ascii="LouguiyaFR" w:hAnsi="LouguiyaFR" w:cs="Calibri"/>
          <w:b/>
          <w:bCs/>
          <w:color w:val="000000"/>
          <w:sz w:val="40"/>
          <w:szCs w:val="40"/>
        </w:rPr>
      </w:pPr>
      <w:r w:rsidRPr="00B16A63">
        <w:rPr>
          <w:rFonts w:ascii="LouguiyaFR" w:hAnsi="LouguiyaFR" w:cs="Calibri"/>
          <w:b/>
          <w:bCs/>
          <w:color w:val="000000" w:themeColor="text1"/>
          <w:sz w:val="40"/>
          <w:szCs w:val="40"/>
        </w:rPr>
        <w:t>PLAN DE MOBILISATION DES PARTIES PRENANTES (PMPP)</w:t>
      </w:r>
    </w:p>
    <w:p w14:paraId="6AEB8322" w14:textId="77777777" w:rsidR="0083496A" w:rsidRPr="00DD76DA" w:rsidRDefault="0083496A" w:rsidP="0083496A">
      <w:pPr>
        <w:jc w:val="center"/>
        <w:rPr>
          <w:b/>
          <w:bCs/>
          <w:sz w:val="24"/>
          <w:szCs w:val="24"/>
        </w:rPr>
      </w:pPr>
    </w:p>
    <w:p w14:paraId="428A41EC" w14:textId="77777777" w:rsidR="00B16A63" w:rsidRDefault="00B16A63" w:rsidP="0083496A">
      <w:pPr>
        <w:jc w:val="center"/>
        <w:rPr>
          <w:b/>
          <w:bCs/>
          <w:sz w:val="24"/>
          <w:szCs w:val="24"/>
        </w:rPr>
      </w:pPr>
      <w:bookmarkStart w:id="0" w:name="_Hlk240147615"/>
    </w:p>
    <w:p w14:paraId="73B3F910" w14:textId="77777777" w:rsidR="00B16A63" w:rsidRDefault="00B16A63" w:rsidP="0083496A">
      <w:pPr>
        <w:jc w:val="center"/>
        <w:rPr>
          <w:b/>
          <w:bCs/>
          <w:sz w:val="24"/>
          <w:szCs w:val="24"/>
        </w:rPr>
      </w:pPr>
    </w:p>
    <w:bookmarkEnd w:id="0"/>
    <w:p w14:paraId="2D4ACA56" w14:textId="77777777" w:rsidR="0083496A" w:rsidRPr="00DD76DA" w:rsidRDefault="0083496A" w:rsidP="0083496A">
      <w:pPr>
        <w:jc w:val="center"/>
        <w:rPr>
          <w:b/>
          <w:bCs/>
          <w:sz w:val="24"/>
          <w:szCs w:val="24"/>
        </w:rPr>
      </w:pPr>
    </w:p>
    <w:p w14:paraId="2941229B" w14:textId="77777777" w:rsidR="0083496A" w:rsidRPr="00DD76DA" w:rsidRDefault="0083496A" w:rsidP="0083496A">
      <w:pPr>
        <w:jc w:val="center"/>
        <w:rPr>
          <w:b/>
          <w:bCs/>
          <w:sz w:val="24"/>
          <w:szCs w:val="24"/>
        </w:rPr>
      </w:pPr>
    </w:p>
    <w:p w14:paraId="42D95439" w14:textId="77777777" w:rsidR="0083496A" w:rsidRPr="00DD76DA" w:rsidRDefault="0083496A" w:rsidP="0083496A">
      <w:pPr>
        <w:jc w:val="center"/>
        <w:rPr>
          <w:b/>
          <w:bCs/>
          <w:sz w:val="24"/>
          <w:szCs w:val="24"/>
        </w:rPr>
      </w:pPr>
    </w:p>
    <w:p w14:paraId="2680E63A" w14:textId="77777777" w:rsidR="0083496A" w:rsidRPr="00DD76DA" w:rsidRDefault="0083496A" w:rsidP="0083496A">
      <w:pPr>
        <w:jc w:val="center"/>
        <w:rPr>
          <w:b/>
          <w:bCs/>
          <w:sz w:val="24"/>
          <w:szCs w:val="24"/>
        </w:rPr>
      </w:pPr>
    </w:p>
    <w:p w14:paraId="3A0CF88A" w14:textId="77777777" w:rsidR="0083496A" w:rsidRPr="00DD76DA" w:rsidRDefault="0083496A" w:rsidP="0083496A">
      <w:pPr>
        <w:jc w:val="center"/>
        <w:rPr>
          <w:b/>
          <w:bCs/>
          <w:sz w:val="24"/>
          <w:szCs w:val="24"/>
        </w:rPr>
      </w:pPr>
    </w:p>
    <w:p w14:paraId="1EA7AC30" w14:textId="58F6AF47" w:rsidR="0083496A" w:rsidRPr="00DD76DA" w:rsidRDefault="008D5FED" w:rsidP="0083496A">
      <w:pPr>
        <w:jc w:val="center"/>
      </w:pPr>
      <w:bookmarkStart w:id="1" w:name="_Hlk240147637"/>
      <w:r>
        <w:rPr>
          <w:b/>
          <w:bCs/>
          <w:sz w:val="24"/>
          <w:szCs w:val="24"/>
        </w:rPr>
        <w:t>Octobre</w:t>
      </w:r>
      <w:r w:rsidR="0083496A" w:rsidRPr="0073EC21">
        <w:rPr>
          <w:b/>
          <w:bCs/>
          <w:sz w:val="24"/>
          <w:szCs w:val="24"/>
        </w:rPr>
        <w:t xml:space="preserve"> 2026</w:t>
      </w:r>
    </w:p>
    <w:p w14:paraId="1E425E3B" w14:textId="0B30D2FC" w:rsidR="0073EC21" w:rsidRDefault="0073EC21" w:rsidP="0073EC21">
      <w:pPr>
        <w:jc w:val="center"/>
        <w:rPr>
          <w:b/>
          <w:bCs/>
          <w:sz w:val="24"/>
          <w:szCs w:val="24"/>
        </w:rPr>
      </w:pPr>
    </w:p>
    <w:p w14:paraId="21765CC5" w14:textId="1E15E36B" w:rsidR="0073EC21" w:rsidRDefault="0073EC21" w:rsidP="0073EC21">
      <w:pPr>
        <w:jc w:val="center"/>
        <w:rPr>
          <w:b/>
          <w:bCs/>
          <w:sz w:val="24"/>
          <w:szCs w:val="24"/>
        </w:rPr>
      </w:pPr>
    </w:p>
    <w:p w14:paraId="1B0C65B6" w14:textId="0167AC7A" w:rsidR="0073EC21" w:rsidRDefault="0073EC21" w:rsidP="0073EC21">
      <w:pPr>
        <w:jc w:val="center"/>
        <w:rPr>
          <w:b/>
          <w:bCs/>
          <w:sz w:val="24"/>
          <w:szCs w:val="24"/>
        </w:rPr>
      </w:pPr>
    </w:p>
    <w:bookmarkEnd w:id="1" w:displacedByCustomXml="next"/>
    <w:sdt>
      <w:sdtPr>
        <w:rPr>
          <w:rFonts w:asciiTheme="minorHAnsi" w:eastAsiaTheme="minorEastAsia" w:hAnsiTheme="minorHAnsi" w:cstheme="minorBidi"/>
          <w:b w:val="0"/>
          <w:bCs w:val="0"/>
          <w:color w:val="auto"/>
          <w:kern w:val="2"/>
          <w:sz w:val="22"/>
          <w:szCs w:val="22"/>
          <w:lang w:eastAsia="en-US"/>
          <w14:ligatures w14:val="standardContextual"/>
        </w:rPr>
        <w:id w:val="-1977901808"/>
        <w:docPartObj>
          <w:docPartGallery w:val="Table of Contents"/>
          <w:docPartUnique/>
        </w:docPartObj>
      </w:sdtPr>
      <w:sdtEndPr/>
      <w:sdtContent>
        <w:p w14:paraId="2185700D" w14:textId="77777777" w:rsidR="0083496A" w:rsidRPr="00DD76DA" w:rsidRDefault="0083496A" w:rsidP="0083496A">
          <w:pPr>
            <w:pStyle w:val="TOCHeading"/>
          </w:pPr>
          <w:r w:rsidRPr="00DD76DA">
            <w:t>Table des matières</w:t>
          </w:r>
        </w:p>
        <w:p w14:paraId="1728688F" w14:textId="6080F1AB" w:rsidR="0083496A" w:rsidRPr="00F80101" w:rsidRDefault="0083496A" w:rsidP="0083496A">
          <w:pPr>
            <w:pStyle w:val="TOC1"/>
            <w:tabs>
              <w:tab w:val="right" w:leader="dot" w:pos="9062"/>
            </w:tabs>
            <w:rPr>
              <w:rFonts w:eastAsiaTheme="minorEastAsia"/>
              <w:noProof/>
            </w:rPr>
          </w:pPr>
          <w:r w:rsidRPr="00DD76DA">
            <w:fldChar w:fldCharType="begin"/>
          </w:r>
          <w:r w:rsidRPr="00DD76DA">
            <w:instrText xml:space="preserve"> TOC \o "1-3" \h \z \u </w:instrText>
          </w:r>
          <w:r w:rsidRPr="00DD76DA">
            <w:fldChar w:fldCharType="separate"/>
          </w:r>
          <w:hyperlink w:anchor="_Toc241155384" w:history="1">
            <w:r w:rsidRPr="00F80101">
              <w:rPr>
                <w:rStyle w:val="Hyperlink"/>
                <w:noProof/>
              </w:rPr>
              <w:t>Introduction et Contexte</w:t>
            </w:r>
            <w:r w:rsidRPr="00F80101">
              <w:rPr>
                <w:noProof/>
                <w:webHidden/>
              </w:rPr>
              <w:tab/>
            </w:r>
            <w:r w:rsidRPr="00F80101">
              <w:rPr>
                <w:noProof/>
                <w:webHidden/>
              </w:rPr>
              <w:fldChar w:fldCharType="begin"/>
            </w:r>
            <w:r w:rsidRPr="00F80101">
              <w:rPr>
                <w:noProof/>
                <w:webHidden/>
              </w:rPr>
              <w:instrText xml:space="preserve"> PAGEREF _Toc241155384 \h </w:instrText>
            </w:r>
            <w:r w:rsidRPr="00F80101">
              <w:rPr>
                <w:noProof/>
                <w:webHidden/>
              </w:rPr>
            </w:r>
            <w:r w:rsidRPr="00F80101">
              <w:rPr>
                <w:noProof/>
                <w:webHidden/>
              </w:rPr>
              <w:fldChar w:fldCharType="separate"/>
            </w:r>
            <w:r w:rsidR="003D099C">
              <w:rPr>
                <w:noProof/>
                <w:webHidden/>
              </w:rPr>
              <w:t>4</w:t>
            </w:r>
            <w:r w:rsidRPr="00F80101">
              <w:rPr>
                <w:noProof/>
                <w:webHidden/>
              </w:rPr>
              <w:fldChar w:fldCharType="end"/>
            </w:r>
          </w:hyperlink>
        </w:p>
        <w:p w14:paraId="043FF485" w14:textId="7756D9FD" w:rsidR="0083496A" w:rsidRPr="00F80101" w:rsidRDefault="0083496A" w:rsidP="0083496A">
          <w:pPr>
            <w:pStyle w:val="TOC1"/>
            <w:tabs>
              <w:tab w:val="right" w:leader="dot" w:pos="9062"/>
            </w:tabs>
            <w:rPr>
              <w:rFonts w:eastAsiaTheme="minorEastAsia"/>
              <w:noProof/>
            </w:rPr>
          </w:pPr>
          <w:hyperlink w:anchor="_Toc241155385" w:history="1">
            <w:r w:rsidRPr="00F80101">
              <w:rPr>
                <w:rStyle w:val="Hyperlink"/>
                <w:noProof/>
              </w:rPr>
              <w:t>2. Présentation du projet</w:t>
            </w:r>
            <w:r w:rsidRPr="00F80101">
              <w:rPr>
                <w:noProof/>
                <w:webHidden/>
              </w:rPr>
              <w:tab/>
            </w:r>
            <w:r w:rsidRPr="00F80101">
              <w:rPr>
                <w:noProof/>
                <w:webHidden/>
              </w:rPr>
              <w:fldChar w:fldCharType="begin"/>
            </w:r>
            <w:r w:rsidRPr="00F80101">
              <w:rPr>
                <w:noProof/>
                <w:webHidden/>
              </w:rPr>
              <w:instrText xml:space="preserve"> PAGEREF _Toc241155385 \h </w:instrText>
            </w:r>
            <w:r w:rsidRPr="00F80101">
              <w:rPr>
                <w:noProof/>
                <w:webHidden/>
              </w:rPr>
            </w:r>
            <w:r w:rsidRPr="00F80101">
              <w:rPr>
                <w:noProof/>
                <w:webHidden/>
              </w:rPr>
              <w:fldChar w:fldCharType="separate"/>
            </w:r>
            <w:r w:rsidR="003D099C">
              <w:rPr>
                <w:noProof/>
                <w:webHidden/>
              </w:rPr>
              <w:t>4</w:t>
            </w:r>
            <w:r w:rsidRPr="00F80101">
              <w:rPr>
                <w:noProof/>
                <w:webHidden/>
              </w:rPr>
              <w:fldChar w:fldCharType="end"/>
            </w:r>
          </w:hyperlink>
        </w:p>
        <w:p w14:paraId="24943922" w14:textId="42FC755B" w:rsidR="0083496A" w:rsidRPr="00F80101" w:rsidRDefault="0083496A" w:rsidP="0083496A">
          <w:pPr>
            <w:pStyle w:val="TOC2"/>
            <w:tabs>
              <w:tab w:val="right" w:leader="dot" w:pos="9062"/>
            </w:tabs>
            <w:rPr>
              <w:rFonts w:eastAsiaTheme="minorEastAsia"/>
              <w:noProof/>
            </w:rPr>
          </w:pPr>
          <w:hyperlink w:anchor="_Toc241155386" w:history="1">
            <w:r w:rsidRPr="00F80101">
              <w:rPr>
                <w:rStyle w:val="Hyperlink"/>
                <w:noProof/>
              </w:rPr>
              <w:t>2.1. Objectif du projet</w:t>
            </w:r>
            <w:r w:rsidRPr="00F80101">
              <w:rPr>
                <w:noProof/>
                <w:webHidden/>
              </w:rPr>
              <w:tab/>
            </w:r>
            <w:r w:rsidRPr="00F80101">
              <w:rPr>
                <w:noProof/>
                <w:webHidden/>
              </w:rPr>
              <w:fldChar w:fldCharType="begin"/>
            </w:r>
            <w:r w:rsidRPr="00F80101">
              <w:rPr>
                <w:noProof/>
                <w:webHidden/>
              </w:rPr>
              <w:instrText xml:space="preserve"> PAGEREF _Toc241155386 \h </w:instrText>
            </w:r>
            <w:r w:rsidRPr="00F80101">
              <w:rPr>
                <w:noProof/>
                <w:webHidden/>
              </w:rPr>
            </w:r>
            <w:r w:rsidRPr="00F80101">
              <w:rPr>
                <w:noProof/>
                <w:webHidden/>
              </w:rPr>
              <w:fldChar w:fldCharType="separate"/>
            </w:r>
            <w:r w:rsidR="003D099C">
              <w:rPr>
                <w:noProof/>
                <w:webHidden/>
              </w:rPr>
              <w:t>4</w:t>
            </w:r>
            <w:r w:rsidRPr="00F80101">
              <w:rPr>
                <w:noProof/>
                <w:webHidden/>
              </w:rPr>
              <w:fldChar w:fldCharType="end"/>
            </w:r>
          </w:hyperlink>
        </w:p>
        <w:p w14:paraId="65608446" w14:textId="2667E265" w:rsidR="0083496A" w:rsidRPr="00F80101" w:rsidRDefault="0083496A" w:rsidP="0083496A">
          <w:pPr>
            <w:pStyle w:val="TOC1"/>
            <w:tabs>
              <w:tab w:val="right" w:leader="dot" w:pos="9062"/>
            </w:tabs>
            <w:rPr>
              <w:rFonts w:eastAsiaTheme="minorEastAsia"/>
              <w:noProof/>
            </w:rPr>
          </w:pPr>
          <w:hyperlink w:anchor="_Toc241155387" w:history="1">
            <w:r w:rsidRPr="00F80101">
              <w:rPr>
                <w:rStyle w:val="Hyperlink"/>
                <w:noProof/>
              </w:rPr>
              <w:t>2.2. Composantes du projet</w:t>
            </w:r>
            <w:r w:rsidRPr="00F80101">
              <w:rPr>
                <w:noProof/>
                <w:webHidden/>
              </w:rPr>
              <w:tab/>
            </w:r>
            <w:r w:rsidRPr="00F80101">
              <w:rPr>
                <w:noProof/>
                <w:webHidden/>
              </w:rPr>
              <w:fldChar w:fldCharType="begin"/>
            </w:r>
            <w:r w:rsidRPr="00F80101">
              <w:rPr>
                <w:noProof/>
                <w:webHidden/>
              </w:rPr>
              <w:instrText xml:space="preserve"> PAGEREF _Toc241155387 \h </w:instrText>
            </w:r>
            <w:r w:rsidRPr="00F80101">
              <w:rPr>
                <w:noProof/>
                <w:webHidden/>
              </w:rPr>
            </w:r>
            <w:r w:rsidRPr="00F80101">
              <w:rPr>
                <w:noProof/>
                <w:webHidden/>
              </w:rPr>
              <w:fldChar w:fldCharType="separate"/>
            </w:r>
            <w:r w:rsidR="003D099C">
              <w:rPr>
                <w:noProof/>
                <w:webHidden/>
              </w:rPr>
              <w:t>4</w:t>
            </w:r>
            <w:r w:rsidRPr="00F80101">
              <w:rPr>
                <w:noProof/>
                <w:webHidden/>
              </w:rPr>
              <w:fldChar w:fldCharType="end"/>
            </w:r>
          </w:hyperlink>
        </w:p>
        <w:p w14:paraId="42BF50BD" w14:textId="0FC2B7C0" w:rsidR="0083496A" w:rsidRPr="00F80101" w:rsidRDefault="0083496A" w:rsidP="0083496A">
          <w:pPr>
            <w:pStyle w:val="TOC1"/>
            <w:tabs>
              <w:tab w:val="right" w:leader="dot" w:pos="9062"/>
            </w:tabs>
            <w:rPr>
              <w:rFonts w:eastAsiaTheme="minorEastAsia"/>
              <w:noProof/>
            </w:rPr>
          </w:pPr>
          <w:hyperlink w:anchor="_Toc241155388" w:history="1">
            <w:r w:rsidRPr="00F80101">
              <w:rPr>
                <w:rStyle w:val="Hyperlink"/>
                <w:b/>
                <w:bCs/>
                <w:noProof/>
              </w:rPr>
              <w:t>3. Objectif du PMPP</w:t>
            </w:r>
            <w:r w:rsidRPr="00F80101">
              <w:rPr>
                <w:noProof/>
                <w:webHidden/>
              </w:rPr>
              <w:tab/>
            </w:r>
            <w:r w:rsidRPr="00F80101">
              <w:rPr>
                <w:noProof/>
                <w:webHidden/>
              </w:rPr>
              <w:fldChar w:fldCharType="begin"/>
            </w:r>
            <w:r w:rsidRPr="00F80101">
              <w:rPr>
                <w:noProof/>
                <w:webHidden/>
              </w:rPr>
              <w:instrText xml:space="preserve"> PAGEREF _Toc241155388 \h </w:instrText>
            </w:r>
            <w:r w:rsidRPr="00F80101">
              <w:rPr>
                <w:noProof/>
                <w:webHidden/>
              </w:rPr>
            </w:r>
            <w:r w:rsidRPr="00F80101">
              <w:rPr>
                <w:noProof/>
                <w:webHidden/>
              </w:rPr>
              <w:fldChar w:fldCharType="separate"/>
            </w:r>
            <w:r w:rsidR="003D099C">
              <w:rPr>
                <w:noProof/>
                <w:webHidden/>
              </w:rPr>
              <w:t>5</w:t>
            </w:r>
            <w:r w:rsidRPr="00F80101">
              <w:rPr>
                <w:noProof/>
                <w:webHidden/>
              </w:rPr>
              <w:fldChar w:fldCharType="end"/>
            </w:r>
          </w:hyperlink>
        </w:p>
        <w:p w14:paraId="40893E4C" w14:textId="4BBA1F80" w:rsidR="0083496A" w:rsidRPr="00F80101" w:rsidRDefault="0083496A" w:rsidP="0083496A">
          <w:pPr>
            <w:pStyle w:val="TOC1"/>
            <w:tabs>
              <w:tab w:val="right" w:leader="dot" w:pos="9062"/>
            </w:tabs>
            <w:rPr>
              <w:rFonts w:eastAsiaTheme="minorEastAsia"/>
              <w:noProof/>
            </w:rPr>
          </w:pPr>
          <w:hyperlink w:anchor="_Toc241155389" w:history="1">
            <w:r w:rsidRPr="00F80101">
              <w:rPr>
                <w:rStyle w:val="Hyperlink"/>
                <w:b/>
                <w:bCs/>
                <w:noProof/>
              </w:rPr>
              <w:t>4. Analyse et Identification des Parties Prenantes</w:t>
            </w:r>
            <w:r w:rsidRPr="00F80101">
              <w:rPr>
                <w:noProof/>
                <w:webHidden/>
              </w:rPr>
              <w:tab/>
            </w:r>
            <w:r w:rsidRPr="00F80101">
              <w:rPr>
                <w:noProof/>
                <w:webHidden/>
              </w:rPr>
              <w:fldChar w:fldCharType="begin"/>
            </w:r>
            <w:r w:rsidRPr="00F80101">
              <w:rPr>
                <w:noProof/>
                <w:webHidden/>
              </w:rPr>
              <w:instrText xml:space="preserve"> PAGEREF _Toc241155389 \h </w:instrText>
            </w:r>
            <w:r w:rsidRPr="00F80101">
              <w:rPr>
                <w:noProof/>
                <w:webHidden/>
              </w:rPr>
            </w:r>
            <w:r w:rsidRPr="00F80101">
              <w:rPr>
                <w:noProof/>
                <w:webHidden/>
              </w:rPr>
              <w:fldChar w:fldCharType="separate"/>
            </w:r>
            <w:r w:rsidR="003D099C">
              <w:rPr>
                <w:noProof/>
                <w:webHidden/>
              </w:rPr>
              <w:t>6</w:t>
            </w:r>
            <w:r w:rsidRPr="00F80101">
              <w:rPr>
                <w:noProof/>
                <w:webHidden/>
              </w:rPr>
              <w:fldChar w:fldCharType="end"/>
            </w:r>
          </w:hyperlink>
        </w:p>
        <w:p w14:paraId="6C27C911" w14:textId="35C9DC17" w:rsidR="0083496A" w:rsidRPr="00F80101" w:rsidRDefault="0083496A" w:rsidP="0083496A">
          <w:pPr>
            <w:pStyle w:val="TOC1"/>
            <w:tabs>
              <w:tab w:val="right" w:leader="dot" w:pos="9062"/>
            </w:tabs>
            <w:rPr>
              <w:rFonts w:eastAsiaTheme="minorEastAsia"/>
              <w:noProof/>
            </w:rPr>
          </w:pPr>
          <w:hyperlink w:anchor="_Toc241155390" w:history="1">
            <w:r w:rsidRPr="00F80101">
              <w:rPr>
                <w:rStyle w:val="Hyperlink"/>
                <w:b/>
                <w:bCs/>
                <w:noProof/>
              </w:rPr>
              <w:t>4.1 Méthodologie</w:t>
            </w:r>
            <w:r w:rsidRPr="00F80101">
              <w:rPr>
                <w:noProof/>
                <w:webHidden/>
              </w:rPr>
              <w:tab/>
            </w:r>
            <w:r w:rsidRPr="00F80101">
              <w:rPr>
                <w:noProof/>
                <w:webHidden/>
              </w:rPr>
              <w:fldChar w:fldCharType="begin"/>
            </w:r>
            <w:r w:rsidRPr="00F80101">
              <w:rPr>
                <w:noProof/>
                <w:webHidden/>
              </w:rPr>
              <w:instrText xml:space="preserve"> PAGEREF _Toc241155390 \h </w:instrText>
            </w:r>
            <w:r w:rsidRPr="00F80101">
              <w:rPr>
                <w:noProof/>
                <w:webHidden/>
              </w:rPr>
            </w:r>
            <w:r w:rsidRPr="00F80101">
              <w:rPr>
                <w:noProof/>
                <w:webHidden/>
              </w:rPr>
              <w:fldChar w:fldCharType="separate"/>
            </w:r>
            <w:r w:rsidR="003D099C">
              <w:rPr>
                <w:noProof/>
                <w:webHidden/>
              </w:rPr>
              <w:t>7</w:t>
            </w:r>
            <w:r w:rsidRPr="00F80101">
              <w:rPr>
                <w:noProof/>
                <w:webHidden/>
              </w:rPr>
              <w:fldChar w:fldCharType="end"/>
            </w:r>
          </w:hyperlink>
        </w:p>
        <w:p w14:paraId="4D597AC0" w14:textId="3F464976" w:rsidR="0083496A" w:rsidRPr="00F80101" w:rsidRDefault="0083496A" w:rsidP="0083496A">
          <w:pPr>
            <w:pStyle w:val="TOC1"/>
            <w:tabs>
              <w:tab w:val="right" w:leader="dot" w:pos="9062"/>
            </w:tabs>
            <w:rPr>
              <w:rFonts w:eastAsiaTheme="minorEastAsia"/>
              <w:noProof/>
            </w:rPr>
          </w:pPr>
          <w:hyperlink w:anchor="_Toc241155391" w:history="1">
            <w:r w:rsidRPr="00F80101">
              <w:rPr>
                <w:rStyle w:val="Hyperlink"/>
                <w:b/>
                <w:bCs/>
                <w:noProof/>
              </w:rPr>
              <w:t>4.2 Parties touchées</w:t>
            </w:r>
            <w:r w:rsidRPr="00F80101">
              <w:rPr>
                <w:noProof/>
                <w:webHidden/>
              </w:rPr>
              <w:tab/>
            </w:r>
            <w:r w:rsidRPr="00F80101">
              <w:rPr>
                <w:noProof/>
                <w:webHidden/>
              </w:rPr>
              <w:fldChar w:fldCharType="begin"/>
            </w:r>
            <w:r w:rsidRPr="00F80101">
              <w:rPr>
                <w:noProof/>
                <w:webHidden/>
              </w:rPr>
              <w:instrText xml:space="preserve"> PAGEREF _Toc241155391 \h </w:instrText>
            </w:r>
            <w:r w:rsidRPr="00F80101">
              <w:rPr>
                <w:noProof/>
                <w:webHidden/>
              </w:rPr>
            </w:r>
            <w:r w:rsidRPr="00F80101">
              <w:rPr>
                <w:noProof/>
                <w:webHidden/>
              </w:rPr>
              <w:fldChar w:fldCharType="separate"/>
            </w:r>
            <w:r w:rsidR="003D099C">
              <w:rPr>
                <w:noProof/>
                <w:webHidden/>
              </w:rPr>
              <w:t>7</w:t>
            </w:r>
            <w:r w:rsidRPr="00F80101">
              <w:rPr>
                <w:noProof/>
                <w:webHidden/>
              </w:rPr>
              <w:fldChar w:fldCharType="end"/>
            </w:r>
          </w:hyperlink>
        </w:p>
        <w:p w14:paraId="7CC6EF0A" w14:textId="060AEFDC" w:rsidR="0083496A" w:rsidRPr="00F80101" w:rsidRDefault="0083496A" w:rsidP="0083496A">
          <w:pPr>
            <w:pStyle w:val="TOC1"/>
            <w:tabs>
              <w:tab w:val="right" w:leader="dot" w:pos="9062"/>
            </w:tabs>
            <w:rPr>
              <w:rFonts w:eastAsiaTheme="minorEastAsia"/>
              <w:noProof/>
            </w:rPr>
          </w:pPr>
          <w:hyperlink w:anchor="_Toc241155392" w:history="1">
            <w:r w:rsidRPr="00F80101">
              <w:rPr>
                <w:rStyle w:val="Hyperlink"/>
                <w:b/>
                <w:bCs/>
                <w:noProof/>
              </w:rPr>
              <w:t>4.3 Autres parties concernées</w:t>
            </w:r>
            <w:r w:rsidRPr="00F80101">
              <w:rPr>
                <w:noProof/>
                <w:webHidden/>
              </w:rPr>
              <w:tab/>
            </w:r>
            <w:r w:rsidRPr="00F80101">
              <w:rPr>
                <w:noProof/>
                <w:webHidden/>
              </w:rPr>
              <w:fldChar w:fldCharType="begin"/>
            </w:r>
            <w:r w:rsidRPr="00F80101">
              <w:rPr>
                <w:noProof/>
                <w:webHidden/>
              </w:rPr>
              <w:instrText xml:space="preserve"> PAGEREF _Toc241155392 \h </w:instrText>
            </w:r>
            <w:r w:rsidRPr="00F80101">
              <w:rPr>
                <w:noProof/>
                <w:webHidden/>
              </w:rPr>
            </w:r>
            <w:r w:rsidRPr="00F80101">
              <w:rPr>
                <w:noProof/>
                <w:webHidden/>
              </w:rPr>
              <w:fldChar w:fldCharType="separate"/>
            </w:r>
            <w:r w:rsidR="003D099C">
              <w:rPr>
                <w:noProof/>
                <w:webHidden/>
              </w:rPr>
              <w:t>7</w:t>
            </w:r>
            <w:r w:rsidRPr="00F80101">
              <w:rPr>
                <w:noProof/>
                <w:webHidden/>
              </w:rPr>
              <w:fldChar w:fldCharType="end"/>
            </w:r>
          </w:hyperlink>
        </w:p>
        <w:p w14:paraId="76CD43EC" w14:textId="66FDBF9E" w:rsidR="0083496A" w:rsidRPr="00F80101" w:rsidRDefault="0083496A" w:rsidP="0083496A">
          <w:pPr>
            <w:pStyle w:val="TOC2"/>
            <w:tabs>
              <w:tab w:val="right" w:leader="dot" w:pos="9062"/>
            </w:tabs>
            <w:rPr>
              <w:rFonts w:eastAsiaTheme="minorEastAsia"/>
              <w:noProof/>
            </w:rPr>
          </w:pPr>
          <w:hyperlink w:anchor="_Toc241155393" w:history="1">
            <w:r w:rsidRPr="00F80101">
              <w:rPr>
                <w:rStyle w:val="Hyperlink"/>
                <w:b/>
                <w:bCs/>
                <w:noProof/>
              </w:rPr>
              <w:t>4.4. Individus ou groupes défavorisés ou vulnérables</w:t>
            </w:r>
            <w:r w:rsidRPr="00F80101">
              <w:rPr>
                <w:noProof/>
                <w:webHidden/>
              </w:rPr>
              <w:tab/>
            </w:r>
            <w:r w:rsidRPr="00F80101">
              <w:rPr>
                <w:noProof/>
                <w:webHidden/>
              </w:rPr>
              <w:fldChar w:fldCharType="begin"/>
            </w:r>
            <w:r w:rsidRPr="00F80101">
              <w:rPr>
                <w:noProof/>
                <w:webHidden/>
              </w:rPr>
              <w:instrText xml:space="preserve"> PAGEREF _Toc241155393 \h </w:instrText>
            </w:r>
            <w:r w:rsidRPr="00F80101">
              <w:rPr>
                <w:noProof/>
                <w:webHidden/>
              </w:rPr>
            </w:r>
            <w:r w:rsidRPr="00F80101">
              <w:rPr>
                <w:noProof/>
                <w:webHidden/>
              </w:rPr>
              <w:fldChar w:fldCharType="separate"/>
            </w:r>
            <w:r w:rsidR="003D099C">
              <w:rPr>
                <w:noProof/>
                <w:webHidden/>
              </w:rPr>
              <w:t>8</w:t>
            </w:r>
            <w:r w:rsidRPr="00F80101">
              <w:rPr>
                <w:noProof/>
                <w:webHidden/>
              </w:rPr>
              <w:fldChar w:fldCharType="end"/>
            </w:r>
          </w:hyperlink>
        </w:p>
        <w:p w14:paraId="3BB3A727" w14:textId="1A77573F" w:rsidR="0083496A" w:rsidRPr="00F80101" w:rsidRDefault="0083496A" w:rsidP="0083496A">
          <w:pPr>
            <w:pStyle w:val="TOC1"/>
            <w:tabs>
              <w:tab w:val="right" w:leader="dot" w:pos="9062"/>
            </w:tabs>
            <w:rPr>
              <w:rFonts w:eastAsiaTheme="minorEastAsia"/>
              <w:noProof/>
            </w:rPr>
          </w:pPr>
          <w:hyperlink w:anchor="_Toc241155394" w:history="1">
            <w:r w:rsidRPr="00F80101">
              <w:rPr>
                <w:rStyle w:val="Hyperlink"/>
                <w:noProof/>
              </w:rPr>
              <w:t>5</w:t>
            </w:r>
            <w:r w:rsidRPr="00F80101">
              <w:rPr>
                <w:rStyle w:val="Hyperlink"/>
                <w:b/>
                <w:bCs/>
                <w:noProof/>
              </w:rPr>
              <w:t>. Programme de mobilisation des parties prenantes  </w:t>
            </w:r>
            <w:r w:rsidRPr="00F80101">
              <w:rPr>
                <w:noProof/>
                <w:webHidden/>
              </w:rPr>
              <w:tab/>
            </w:r>
            <w:r w:rsidRPr="00F80101">
              <w:rPr>
                <w:noProof/>
                <w:webHidden/>
              </w:rPr>
              <w:fldChar w:fldCharType="begin"/>
            </w:r>
            <w:r w:rsidRPr="00F80101">
              <w:rPr>
                <w:noProof/>
                <w:webHidden/>
              </w:rPr>
              <w:instrText xml:space="preserve"> PAGEREF _Toc241155394 \h </w:instrText>
            </w:r>
            <w:r w:rsidRPr="00F80101">
              <w:rPr>
                <w:noProof/>
                <w:webHidden/>
              </w:rPr>
            </w:r>
            <w:r w:rsidRPr="00F80101">
              <w:rPr>
                <w:noProof/>
                <w:webHidden/>
              </w:rPr>
              <w:fldChar w:fldCharType="separate"/>
            </w:r>
            <w:r w:rsidR="003D099C">
              <w:rPr>
                <w:noProof/>
                <w:webHidden/>
              </w:rPr>
              <w:t>9</w:t>
            </w:r>
            <w:r w:rsidRPr="00F80101">
              <w:rPr>
                <w:noProof/>
                <w:webHidden/>
              </w:rPr>
              <w:fldChar w:fldCharType="end"/>
            </w:r>
          </w:hyperlink>
        </w:p>
        <w:p w14:paraId="762044BA" w14:textId="06F369E4" w:rsidR="0083496A" w:rsidRPr="00F80101" w:rsidRDefault="0083496A" w:rsidP="0083496A">
          <w:pPr>
            <w:pStyle w:val="TOC2"/>
            <w:tabs>
              <w:tab w:val="right" w:leader="dot" w:pos="9062"/>
            </w:tabs>
            <w:rPr>
              <w:rFonts w:eastAsiaTheme="minorEastAsia"/>
              <w:noProof/>
            </w:rPr>
          </w:pPr>
          <w:hyperlink w:anchor="_Toc241155395" w:history="1">
            <w:r w:rsidRPr="00F80101">
              <w:rPr>
                <w:rStyle w:val="Hyperlink"/>
                <w:noProof/>
              </w:rPr>
              <w:t>5.1.</w:t>
            </w:r>
            <w:r w:rsidRPr="00F80101">
              <w:rPr>
                <w:rStyle w:val="Hyperlink"/>
                <w:b/>
                <w:bCs/>
                <w:noProof/>
              </w:rPr>
              <w:t xml:space="preserve"> Résumé de la participation des parties prenantes à la préparation du projet</w:t>
            </w:r>
            <w:r w:rsidRPr="00F80101">
              <w:rPr>
                <w:noProof/>
                <w:webHidden/>
              </w:rPr>
              <w:tab/>
            </w:r>
            <w:r w:rsidRPr="00F80101">
              <w:rPr>
                <w:noProof/>
                <w:webHidden/>
              </w:rPr>
              <w:fldChar w:fldCharType="begin"/>
            </w:r>
            <w:r w:rsidRPr="00F80101">
              <w:rPr>
                <w:noProof/>
                <w:webHidden/>
              </w:rPr>
              <w:instrText xml:space="preserve"> PAGEREF _Toc241155395 \h </w:instrText>
            </w:r>
            <w:r w:rsidRPr="00F80101">
              <w:rPr>
                <w:noProof/>
                <w:webHidden/>
              </w:rPr>
            </w:r>
            <w:r w:rsidRPr="00F80101">
              <w:rPr>
                <w:noProof/>
                <w:webHidden/>
              </w:rPr>
              <w:fldChar w:fldCharType="separate"/>
            </w:r>
            <w:r w:rsidR="003D099C">
              <w:rPr>
                <w:noProof/>
                <w:webHidden/>
              </w:rPr>
              <w:t>9</w:t>
            </w:r>
            <w:r w:rsidRPr="00F80101">
              <w:rPr>
                <w:noProof/>
                <w:webHidden/>
              </w:rPr>
              <w:fldChar w:fldCharType="end"/>
            </w:r>
          </w:hyperlink>
        </w:p>
        <w:p w14:paraId="4EF9914D" w14:textId="739577E6" w:rsidR="0083496A" w:rsidRPr="00F80101" w:rsidRDefault="0083496A" w:rsidP="0083496A">
          <w:pPr>
            <w:pStyle w:val="TOC2"/>
            <w:tabs>
              <w:tab w:val="right" w:leader="dot" w:pos="9062"/>
            </w:tabs>
            <w:rPr>
              <w:rFonts w:eastAsiaTheme="minorEastAsia"/>
              <w:noProof/>
            </w:rPr>
          </w:pPr>
          <w:hyperlink w:anchor="_Toc241155396" w:history="1">
            <w:r w:rsidRPr="00F80101">
              <w:rPr>
                <w:rStyle w:val="Hyperlink"/>
                <w:b/>
                <w:bCs/>
                <w:noProof/>
              </w:rPr>
              <w:t>5.2. Résumé des besoins des parties prenantes du projet et des méthodes, outils et techniques de mobilisation des parties prenantes</w:t>
            </w:r>
            <w:r w:rsidRPr="00F80101">
              <w:rPr>
                <w:noProof/>
                <w:webHidden/>
              </w:rPr>
              <w:tab/>
            </w:r>
            <w:r w:rsidRPr="00F80101">
              <w:rPr>
                <w:noProof/>
                <w:webHidden/>
              </w:rPr>
              <w:fldChar w:fldCharType="begin"/>
            </w:r>
            <w:r w:rsidRPr="00F80101">
              <w:rPr>
                <w:noProof/>
                <w:webHidden/>
              </w:rPr>
              <w:instrText xml:space="preserve"> PAGEREF _Toc241155396 \h </w:instrText>
            </w:r>
            <w:r w:rsidRPr="00F80101">
              <w:rPr>
                <w:noProof/>
                <w:webHidden/>
              </w:rPr>
            </w:r>
            <w:r w:rsidRPr="00F80101">
              <w:rPr>
                <w:noProof/>
                <w:webHidden/>
              </w:rPr>
              <w:fldChar w:fldCharType="separate"/>
            </w:r>
            <w:r w:rsidR="003D099C">
              <w:rPr>
                <w:noProof/>
                <w:webHidden/>
              </w:rPr>
              <w:t>13</w:t>
            </w:r>
            <w:r w:rsidRPr="00F80101">
              <w:rPr>
                <w:noProof/>
                <w:webHidden/>
              </w:rPr>
              <w:fldChar w:fldCharType="end"/>
            </w:r>
          </w:hyperlink>
        </w:p>
        <w:p w14:paraId="57480905" w14:textId="6656701B" w:rsidR="0083496A" w:rsidRPr="00F80101" w:rsidRDefault="0083496A" w:rsidP="0083496A">
          <w:pPr>
            <w:pStyle w:val="TOC2"/>
            <w:tabs>
              <w:tab w:val="right" w:leader="dot" w:pos="9062"/>
            </w:tabs>
            <w:rPr>
              <w:rFonts w:eastAsiaTheme="minorEastAsia"/>
              <w:noProof/>
            </w:rPr>
          </w:pPr>
          <w:hyperlink w:anchor="_Toc241155397" w:history="1">
            <w:r w:rsidRPr="00F80101">
              <w:rPr>
                <w:rStyle w:val="Hyperlink"/>
                <w:b/>
                <w:bCs/>
                <w:noProof/>
              </w:rPr>
              <w:t>5.3. Stratégie proposée pour la prise en compte des points de vue des groupes vulnérables</w:t>
            </w:r>
            <w:r w:rsidRPr="00F80101">
              <w:rPr>
                <w:noProof/>
                <w:webHidden/>
              </w:rPr>
              <w:tab/>
            </w:r>
            <w:r w:rsidRPr="00F80101">
              <w:rPr>
                <w:noProof/>
                <w:webHidden/>
              </w:rPr>
              <w:fldChar w:fldCharType="begin"/>
            </w:r>
            <w:r w:rsidRPr="00F80101">
              <w:rPr>
                <w:noProof/>
                <w:webHidden/>
              </w:rPr>
              <w:instrText xml:space="preserve"> PAGEREF _Toc241155397 \h </w:instrText>
            </w:r>
            <w:r w:rsidRPr="00F80101">
              <w:rPr>
                <w:noProof/>
                <w:webHidden/>
              </w:rPr>
            </w:r>
            <w:r w:rsidRPr="00F80101">
              <w:rPr>
                <w:noProof/>
                <w:webHidden/>
              </w:rPr>
              <w:fldChar w:fldCharType="separate"/>
            </w:r>
            <w:r w:rsidR="003D099C">
              <w:rPr>
                <w:noProof/>
                <w:webHidden/>
              </w:rPr>
              <w:t>14</w:t>
            </w:r>
            <w:r w:rsidRPr="00F80101">
              <w:rPr>
                <w:noProof/>
                <w:webHidden/>
              </w:rPr>
              <w:fldChar w:fldCharType="end"/>
            </w:r>
          </w:hyperlink>
        </w:p>
        <w:p w14:paraId="018EDAB0" w14:textId="2EA39E28" w:rsidR="0083496A" w:rsidRPr="00F80101" w:rsidRDefault="0083496A" w:rsidP="0083496A">
          <w:pPr>
            <w:pStyle w:val="TOC2"/>
            <w:tabs>
              <w:tab w:val="right" w:leader="dot" w:pos="9062"/>
            </w:tabs>
            <w:rPr>
              <w:rFonts w:eastAsiaTheme="minorEastAsia"/>
              <w:noProof/>
            </w:rPr>
          </w:pPr>
          <w:hyperlink w:anchor="_Toc241155398" w:history="1">
            <w:r w:rsidRPr="00F80101">
              <w:rPr>
                <w:rStyle w:val="Hyperlink"/>
                <w:b/>
                <w:bCs/>
                <w:noProof/>
              </w:rPr>
              <w:t>6. Ressources et responsabilités pour la mise en œuvre des activités de mobilisation des parties prenantes</w:t>
            </w:r>
            <w:r w:rsidRPr="00F80101">
              <w:rPr>
                <w:noProof/>
                <w:webHidden/>
              </w:rPr>
              <w:tab/>
            </w:r>
            <w:r w:rsidRPr="00F80101">
              <w:rPr>
                <w:noProof/>
                <w:webHidden/>
              </w:rPr>
              <w:fldChar w:fldCharType="begin"/>
            </w:r>
            <w:r w:rsidRPr="00F80101">
              <w:rPr>
                <w:noProof/>
                <w:webHidden/>
              </w:rPr>
              <w:instrText xml:space="preserve"> PAGEREF _Toc241155398 \h </w:instrText>
            </w:r>
            <w:r w:rsidRPr="00F80101">
              <w:rPr>
                <w:noProof/>
                <w:webHidden/>
              </w:rPr>
            </w:r>
            <w:r w:rsidRPr="00F80101">
              <w:rPr>
                <w:noProof/>
                <w:webHidden/>
              </w:rPr>
              <w:fldChar w:fldCharType="separate"/>
            </w:r>
            <w:r w:rsidR="003D099C">
              <w:rPr>
                <w:noProof/>
                <w:webHidden/>
              </w:rPr>
              <w:t>15</w:t>
            </w:r>
            <w:r w:rsidRPr="00F80101">
              <w:rPr>
                <w:noProof/>
                <w:webHidden/>
              </w:rPr>
              <w:fldChar w:fldCharType="end"/>
            </w:r>
          </w:hyperlink>
        </w:p>
        <w:p w14:paraId="60684B8E" w14:textId="075D487E" w:rsidR="0083496A" w:rsidRPr="00F80101" w:rsidRDefault="0083496A" w:rsidP="0083496A">
          <w:pPr>
            <w:pStyle w:val="TOC1"/>
            <w:tabs>
              <w:tab w:val="right" w:leader="dot" w:pos="9062"/>
            </w:tabs>
            <w:rPr>
              <w:rFonts w:eastAsiaTheme="minorEastAsia"/>
              <w:noProof/>
            </w:rPr>
          </w:pPr>
          <w:hyperlink w:anchor="_Toc241155399" w:history="1">
            <w:r w:rsidRPr="00F80101">
              <w:rPr>
                <w:rStyle w:val="Hyperlink"/>
                <w:b/>
                <w:bCs/>
                <w:noProof/>
              </w:rPr>
              <w:t>7.Mécanisme de Gestion des Plaintes (MGP)</w:t>
            </w:r>
            <w:r w:rsidRPr="00F80101">
              <w:rPr>
                <w:noProof/>
                <w:webHidden/>
              </w:rPr>
              <w:tab/>
            </w:r>
            <w:r w:rsidRPr="00F80101">
              <w:rPr>
                <w:noProof/>
                <w:webHidden/>
              </w:rPr>
              <w:fldChar w:fldCharType="begin"/>
            </w:r>
            <w:r w:rsidRPr="00F80101">
              <w:rPr>
                <w:noProof/>
                <w:webHidden/>
              </w:rPr>
              <w:instrText xml:space="preserve"> PAGEREF _Toc241155399 \h </w:instrText>
            </w:r>
            <w:r w:rsidRPr="00F80101">
              <w:rPr>
                <w:noProof/>
                <w:webHidden/>
              </w:rPr>
            </w:r>
            <w:r w:rsidRPr="00F80101">
              <w:rPr>
                <w:noProof/>
                <w:webHidden/>
              </w:rPr>
              <w:fldChar w:fldCharType="separate"/>
            </w:r>
            <w:r w:rsidR="003D099C">
              <w:rPr>
                <w:noProof/>
                <w:webHidden/>
              </w:rPr>
              <w:t>16</w:t>
            </w:r>
            <w:r w:rsidRPr="00F80101">
              <w:rPr>
                <w:noProof/>
                <w:webHidden/>
              </w:rPr>
              <w:fldChar w:fldCharType="end"/>
            </w:r>
          </w:hyperlink>
        </w:p>
        <w:p w14:paraId="1C277A94" w14:textId="033B7BA0" w:rsidR="0083496A" w:rsidRPr="00F80101" w:rsidRDefault="0083496A" w:rsidP="0083496A">
          <w:pPr>
            <w:pStyle w:val="TOC2"/>
            <w:tabs>
              <w:tab w:val="right" w:leader="dot" w:pos="9062"/>
            </w:tabs>
            <w:rPr>
              <w:rFonts w:eastAsiaTheme="minorEastAsia"/>
              <w:noProof/>
            </w:rPr>
          </w:pPr>
          <w:hyperlink w:anchor="_Toc241155400" w:history="1">
            <w:r w:rsidRPr="00F80101">
              <w:rPr>
                <w:rStyle w:val="Hyperlink"/>
                <w:b/>
                <w:bCs/>
                <w:noProof/>
              </w:rPr>
              <w:t>7.1Les principes fondamentaux</w:t>
            </w:r>
            <w:r w:rsidRPr="00F80101">
              <w:rPr>
                <w:noProof/>
                <w:webHidden/>
              </w:rPr>
              <w:tab/>
            </w:r>
            <w:r w:rsidRPr="00F80101">
              <w:rPr>
                <w:noProof/>
                <w:webHidden/>
              </w:rPr>
              <w:fldChar w:fldCharType="begin"/>
            </w:r>
            <w:r w:rsidRPr="00F80101">
              <w:rPr>
                <w:noProof/>
                <w:webHidden/>
              </w:rPr>
              <w:instrText xml:space="preserve"> PAGEREF _Toc241155400 \h </w:instrText>
            </w:r>
            <w:r w:rsidRPr="00F80101">
              <w:rPr>
                <w:noProof/>
                <w:webHidden/>
              </w:rPr>
            </w:r>
            <w:r w:rsidRPr="00F80101">
              <w:rPr>
                <w:noProof/>
                <w:webHidden/>
              </w:rPr>
              <w:fldChar w:fldCharType="separate"/>
            </w:r>
            <w:r w:rsidR="003D099C">
              <w:rPr>
                <w:noProof/>
                <w:webHidden/>
              </w:rPr>
              <w:t>16</w:t>
            </w:r>
            <w:r w:rsidRPr="00F80101">
              <w:rPr>
                <w:noProof/>
                <w:webHidden/>
              </w:rPr>
              <w:fldChar w:fldCharType="end"/>
            </w:r>
          </w:hyperlink>
        </w:p>
        <w:p w14:paraId="3196459A" w14:textId="21E96EA6" w:rsidR="0083496A" w:rsidRPr="00F80101" w:rsidRDefault="0083496A" w:rsidP="0083496A">
          <w:pPr>
            <w:pStyle w:val="TOC1"/>
            <w:tabs>
              <w:tab w:val="right" w:leader="dot" w:pos="9062"/>
            </w:tabs>
            <w:rPr>
              <w:rFonts w:eastAsiaTheme="minorEastAsia"/>
              <w:noProof/>
            </w:rPr>
          </w:pPr>
          <w:hyperlink w:anchor="_Toc241155401" w:history="1">
            <w:r w:rsidRPr="00F80101">
              <w:rPr>
                <w:rStyle w:val="Hyperlink"/>
                <w:b/>
                <w:bCs/>
                <w:noProof/>
              </w:rPr>
              <w:t>8. Suivi et Évaluation</w:t>
            </w:r>
            <w:r w:rsidRPr="00F80101">
              <w:rPr>
                <w:noProof/>
                <w:webHidden/>
              </w:rPr>
              <w:tab/>
            </w:r>
            <w:r w:rsidRPr="00F80101">
              <w:rPr>
                <w:noProof/>
                <w:webHidden/>
              </w:rPr>
              <w:fldChar w:fldCharType="begin"/>
            </w:r>
            <w:r w:rsidRPr="00F80101">
              <w:rPr>
                <w:noProof/>
                <w:webHidden/>
              </w:rPr>
              <w:instrText xml:space="preserve"> PAGEREF _Toc241155401 \h </w:instrText>
            </w:r>
            <w:r w:rsidRPr="00F80101">
              <w:rPr>
                <w:noProof/>
                <w:webHidden/>
              </w:rPr>
            </w:r>
            <w:r w:rsidRPr="00F80101">
              <w:rPr>
                <w:noProof/>
                <w:webHidden/>
              </w:rPr>
              <w:fldChar w:fldCharType="separate"/>
            </w:r>
            <w:r w:rsidR="003D099C">
              <w:rPr>
                <w:noProof/>
                <w:webHidden/>
              </w:rPr>
              <w:t>18</w:t>
            </w:r>
            <w:r w:rsidRPr="00F80101">
              <w:rPr>
                <w:noProof/>
                <w:webHidden/>
              </w:rPr>
              <w:fldChar w:fldCharType="end"/>
            </w:r>
          </w:hyperlink>
        </w:p>
        <w:p w14:paraId="6CF8E382" w14:textId="77777777" w:rsidR="0083496A" w:rsidRPr="00DD76DA" w:rsidRDefault="0083496A" w:rsidP="0083496A">
          <w:r w:rsidRPr="00DD76DA">
            <w:rPr>
              <w:b/>
              <w:bCs/>
            </w:rPr>
            <w:fldChar w:fldCharType="end"/>
          </w:r>
        </w:p>
      </w:sdtContent>
    </w:sdt>
    <w:p w14:paraId="233CE5C5" w14:textId="77777777" w:rsidR="0083496A" w:rsidRPr="00DD76DA" w:rsidRDefault="0083496A" w:rsidP="0083496A">
      <w:pPr>
        <w:jc w:val="center"/>
        <w:rPr>
          <w:b/>
          <w:bCs/>
          <w:sz w:val="24"/>
          <w:szCs w:val="24"/>
        </w:rPr>
      </w:pPr>
    </w:p>
    <w:p w14:paraId="72476DA3" w14:textId="77777777" w:rsidR="0083496A" w:rsidRPr="00DD76DA" w:rsidRDefault="0083496A" w:rsidP="0083496A">
      <w:pPr>
        <w:pStyle w:val="Heading1"/>
        <w:rPr>
          <w:b/>
          <w:bCs/>
          <w:sz w:val="24"/>
          <w:szCs w:val="24"/>
        </w:rPr>
      </w:pPr>
    </w:p>
    <w:p w14:paraId="3945F376" w14:textId="77777777" w:rsidR="0083496A" w:rsidRPr="00DD76DA" w:rsidRDefault="0083496A" w:rsidP="0083496A">
      <w:pPr>
        <w:jc w:val="center"/>
        <w:rPr>
          <w:b/>
          <w:bCs/>
          <w:sz w:val="24"/>
          <w:szCs w:val="24"/>
        </w:rPr>
      </w:pPr>
    </w:p>
    <w:p w14:paraId="4B99C969" w14:textId="77777777" w:rsidR="0083496A" w:rsidRPr="00DD76DA" w:rsidRDefault="0083496A" w:rsidP="0083496A">
      <w:pPr>
        <w:jc w:val="center"/>
        <w:rPr>
          <w:b/>
          <w:bCs/>
          <w:sz w:val="24"/>
          <w:szCs w:val="24"/>
        </w:rPr>
      </w:pPr>
    </w:p>
    <w:p w14:paraId="65D0AF4A" w14:textId="77777777" w:rsidR="0083496A" w:rsidRPr="00DD76DA" w:rsidRDefault="0083496A" w:rsidP="0083496A">
      <w:pPr>
        <w:jc w:val="center"/>
        <w:rPr>
          <w:b/>
          <w:bCs/>
          <w:sz w:val="24"/>
          <w:szCs w:val="24"/>
        </w:rPr>
      </w:pPr>
    </w:p>
    <w:p w14:paraId="11E1842D" w14:textId="77777777" w:rsidR="0083496A" w:rsidRPr="00DD76DA" w:rsidRDefault="0083496A" w:rsidP="0083496A">
      <w:pPr>
        <w:jc w:val="center"/>
        <w:rPr>
          <w:b/>
          <w:bCs/>
          <w:sz w:val="24"/>
          <w:szCs w:val="24"/>
        </w:rPr>
      </w:pPr>
    </w:p>
    <w:p w14:paraId="1398611B" w14:textId="77777777" w:rsidR="0083496A" w:rsidRPr="00DD76DA" w:rsidRDefault="0083496A" w:rsidP="0083496A">
      <w:pPr>
        <w:jc w:val="center"/>
        <w:rPr>
          <w:b/>
          <w:bCs/>
          <w:sz w:val="24"/>
          <w:szCs w:val="24"/>
        </w:rPr>
      </w:pPr>
    </w:p>
    <w:p w14:paraId="57D20978" w14:textId="77777777" w:rsidR="0083496A" w:rsidRPr="00DD76DA" w:rsidRDefault="0083496A" w:rsidP="0083496A">
      <w:pPr>
        <w:jc w:val="center"/>
        <w:rPr>
          <w:b/>
          <w:bCs/>
          <w:sz w:val="24"/>
          <w:szCs w:val="24"/>
        </w:rPr>
      </w:pPr>
    </w:p>
    <w:p w14:paraId="2FC2376E" w14:textId="77777777" w:rsidR="0083496A" w:rsidRPr="00DD76DA" w:rsidRDefault="0083496A" w:rsidP="0083496A">
      <w:pPr>
        <w:jc w:val="center"/>
        <w:rPr>
          <w:b/>
          <w:bCs/>
          <w:sz w:val="24"/>
          <w:szCs w:val="24"/>
        </w:rPr>
      </w:pPr>
    </w:p>
    <w:p w14:paraId="48D553F2" w14:textId="77777777" w:rsidR="0083496A" w:rsidRPr="00DD76DA" w:rsidRDefault="0083496A" w:rsidP="0083496A">
      <w:pPr>
        <w:jc w:val="center"/>
        <w:rPr>
          <w:b/>
          <w:bCs/>
          <w:sz w:val="24"/>
          <w:szCs w:val="24"/>
        </w:rPr>
      </w:pPr>
    </w:p>
    <w:p w14:paraId="592996F6" w14:textId="77777777" w:rsidR="008D5FED" w:rsidRDefault="008D5FED" w:rsidP="0083496A">
      <w:pPr>
        <w:rPr>
          <w:b/>
          <w:bCs/>
          <w:sz w:val="24"/>
          <w:szCs w:val="24"/>
        </w:rPr>
      </w:pPr>
    </w:p>
    <w:p w14:paraId="062BCEB3" w14:textId="6845CF2B" w:rsidR="0083496A" w:rsidRPr="00DD76DA" w:rsidRDefault="0083496A" w:rsidP="0083496A">
      <w:pPr>
        <w:rPr>
          <w:b/>
          <w:bCs/>
          <w:sz w:val="24"/>
          <w:szCs w:val="24"/>
        </w:rPr>
      </w:pPr>
      <w:r w:rsidRPr="00DD76DA">
        <w:rPr>
          <w:b/>
          <w:bCs/>
          <w:sz w:val="24"/>
          <w:szCs w:val="24"/>
        </w:rPr>
        <w:t>Liste des acronymes</w:t>
      </w:r>
    </w:p>
    <w:p w14:paraId="59A55010" w14:textId="77777777" w:rsidR="0083496A" w:rsidRPr="00DD76DA" w:rsidRDefault="0083496A" w:rsidP="0083496A">
      <w:pPr>
        <w:rPr>
          <w:sz w:val="24"/>
          <w:szCs w:val="24"/>
        </w:rPr>
      </w:pPr>
      <w:r w:rsidRPr="00DD76DA">
        <w:rPr>
          <w:sz w:val="24"/>
          <w:szCs w:val="24"/>
        </w:rPr>
        <w:t>ARE : Autorité de Régulation</w:t>
      </w:r>
    </w:p>
    <w:p w14:paraId="35FD6801" w14:textId="77777777" w:rsidR="0083496A" w:rsidRPr="00DD76DA" w:rsidRDefault="0083496A" w:rsidP="0083496A">
      <w:pPr>
        <w:rPr>
          <w:sz w:val="24"/>
          <w:szCs w:val="24"/>
        </w:rPr>
      </w:pPr>
      <w:r w:rsidRPr="00DD76DA">
        <w:rPr>
          <w:sz w:val="24"/>
          <w:szCs w:val="24"/>
        </w:rPr>
        <w:t>E&amp;S : Environnemental(e) et Social(e)</w:t>
      </w:r>
    </w:p>
    <w:p w14:paraId="558BC14F" w14:textId="77777777" w:rsidR="0083496A" w:rsidRPr="00DD76DA" w:rsidRDefault="0083496A" w:rsidP="0083496A">
      <w:pPr>
        <w:rPr>
          <w:sz w:val="24"/>
          <w:szCs w:val="24"/>
        </w:rPr>
      </w:pPr>
      <w:r w:rsidRPr="00DD76DA">
        <w:rPr>
          <w:sz w:val="24"/>
          <w:szCs w:val="24"/>
        </w:rPr>
        <w:t>FEED : Front-End Engineering Design (Ingénierie d'avant-projet détaillé)</w:t>
      </w:r>
    </w:p>
    <w:p w14:paraId="6D83D075" w14:textId="77777777" w:rsidR="0083496A" w:rsidRPr="00DD76DA" w:rsidRDefault="0083496A" w:rsidP="0083496A">
      <w:pPr>
        <w:rPr>
          <w:sz w:val="24"/>
          <w:szCs w:val="24"/>
        </w:rPr>
      </w:pPr>
      <w:r w:rsidRPr="00DD76DA">
        <w:rPr>
          <w:sz w:val="24"/>
          <w:szCs w:val="24"/>
        </w:rPr>
        <w:t>GTA : Grand Tortue Ahmeyim</w:t>
      </w:r>
    </w:p>
    <w:p w14:paraId="74E113C2" w14:textId="77777777" w:rsidR="0083496A" w:rsidRPr="00DD76DA" w:rsidRDefault="0083496A" w:rsidP="0083496A">
      <w:pPr>
        <w:rPr>
          <w:sz w:val="24"/>
          <w:szCs w:val="24"/>
        </w:rPr>
      </w:pPr>
      <w:r w:rsidRPr="00DD76DA">
        <w:rPr>
          <w:sz w:val="24"/>
          <w:szCs w:val="24"/>
        </w:rPr>
        <w:t>IDA : Association Internationale de Développement</w:t>
      </w:r>
    </w:p>
    <w:p w14:paraId="79BFF208" w14:textId="77777777" w:rsidR="0083496A" w:rsidRPr="00DD76DA" w:rsidRDefault="0083496A" w:rsidP="0083496A">
      <w:pPr>
        <w:rPr>
          <w:sz w:val="24"/>
          <w:szCs w:val="24"/>
        </w:rPr>
      </w:pPr>
      <w:r w:rsidRPr="00DD76DA">
        <w:rPr>
          <w:sz w:val="24"/>
          <w:szCs w:val="24"/>
        </w:rPr>
        <w:t>IFC : Société Financière Internationale</w:t>
      </w:r>
    </w:p>
    <w:p w14:paraId="53B52726" w14:textId="77777777" w:rsidR="0083496A" w:rsidRPr="00DD76DA" w:rsidRDefault="0083496A" w:rsidP="0083496A">
      <w:pPr>
        <w:rPr>
          <w:sz w:val="24"/>
          <w:szCs w:val="24"/>
        </w:rPr>
      </w:pPr>
      <w:r w:rsidRPr="00DD76DA">
        <w:rPr>
          <w:sz w:val="24"/>
          <w:szCs w:val="24"/>
        </w:rPr>
        <w:t>MEP : Ministère de l’Energie et du Pétrole</w:t>
      </w:r>
    </w:p>
    <w:p w14:paraId="67ABBB96" w14:textId="77777777" w:rsidR="0083496A" w:rsidRPr="00DD76DA" w:rsidRDefault="0083496A" w:rsidP="0083496A">
      <w:pPr>
        <w:rPr>
          <w:sz w:val="24"/>
          <w:szCs w:val="24"/>
        </w:rPr>
      </w:pPr>
      <w:r w:rsidRPr="00DD76DA">
        <w:rPr>
          <w:sz w:val="24"/>
          <w:szCs w:val="24"/>
        </w:rPr>
        <w:t>MGP : Mécanisme de Gestion des Plaintes</w:t>
      </w:r>
    </w:p>
    <w:p w14:paraId="42486114" w14:textId="77777777" w:rsidR="0083496A" w:rsidRPr="00DD76DA" w:rsidRDefault="0083496A" w:rsidP="0083496A">
      <w:pPr>
        <w:rPr>
          <w:sz w:val="24"/>
          <w:szCs w:val="24"/>
        </w:rPr>
      </w:pPr>
      <w:r w:rsidRPr="00DD76DA">
        <w:rPr>
          <w:sz w:val="24"/>
          <w:szCs w:val="24"/>
        </w:rPr>
        <w:t>MIGA : Agence Multilatérale de Garantie des Investissements</w:t>
      </w:r>
    </w:p>
    <w:p w14:paraId="6DC11235" w14:textId="77777777" w:rsidR="0083496A" w:rsidRPr="00DD76DA" w:rsidRDefault="0083496A" w:rsidP="0083496A">
      <w:pPr>
        <w:rPr>
          <w:sz w:val="24"/>
          <w:szCs w:val="24"/>
        </w:rPr>
      </w:pPr>
      <w:r w:rsidRPr="00DD76DA">
        <w:rPr>
          <w:sz w:val="24"/>
          <w:szCs w:val="24"/>
        </w:rPr>
        <w:t>MPA : Approche Programmatique à Phases Multiples</w:t>
      </w:r>
    </w:p>
    <w:p w14:paraId="22E46235" w14:textId="77777777" w:rsidR="0083496A" w:rsidRPr="00DD76DA" w:rsidRDefault="0083496A" w:rsidP="0083496A">
      <w:pPr>
        <w:rPr>
          <w:sz w:val="24"/>
          <w:szCs w:val="24"/>
        </w:rPr>
      </w:pPr>
      <w:r w:rsidRPr="00DD76DA">
        <w:rPr>
          <w:sz w:val="24"/>
          <w:szCs w:val="24"/>
        </w:rPr>
        <w:t>NES : Normes Environnementales et Sociales</w:t>
      </w:r>
    </w:p>
    <w:p w14:paraId="2E9854E9" w14:textId="77777777" w:rsidR="0083496A" w:rsidRPr="00DD76DA" w:rsidRDefault="0083496A" w:rsidP="0083496A">
      <w:pPr>
        <w:rPr>
          <w:sz w:val="24"/>
          <w:szCs w:val="24"/>
        </w:rPr>
      </w:pPr>
      <w:r w:rsidRPr="00DD76DA">
        <w:rPr>
          <w:sz w:val="24"/>
          <w:szCs w:val="24"/>
        </w:rPr>
        <w:t>ONG : Organisation Non Gouvernementale</w:t>
      </w:r>
    </w:p>
    <w:p w14:paraId="24FE3754" w14:textId="77777777" w:rsidR="0083496A" w:rsidRPr="00DD76DA" w:rsidRDefault="0083496A" w:rsidP="0083496A">
      <w:pPr>
        <w:rPr>
          <w:sz w:val="24"/>
          <w:szCs w:val="24"/>
        </w:rPr>
      </w:pPr>
      <w:r w:rsidRPr="00DD76DA">
        <w:rPr>
          <w:sz w:val="24"/>
          <w:szCs w:val="24"/>
        </w:rPr>
        <w:t>PEES : Plan d’Engagement Environnemental et Social</w:t>
      </w:r>
    </w:p>
    <w:p w14:paraId="479D4C56" w14:textId="77777777" w:rsidR="0083496A" w:rsidRPr="00DD76DA" w:rsidRDefault="0083496A" w:rsidP="0083496A">
      <w:pPr>
        <w:rPr>
          <w:sz w:val="24"/>
          <w:szCs w:val="24"/>
        </w:rPr>
      </w:pPr>
      <w:r w:rsidRPr="00DD76DA">
        <w:rPr>
          <w:sz w:val="24"/>
          <w:szCs w:val="24"/>
        </w:rPr>
        <w:t>PMPP : Plan de Mobilisation des Parties Prenantes</w:t>
      </w:r>
    </w:p>
    <w:p w14:paraId="78864945" w14:textId="77777777" w:rsidR="0083496A" w:rsidRPr="00DD76DA" w:rsidRDefault="0083496A" w:rsidP="0083496A">
      <w:pPr>
        <w:rPr>
          <w:sz w:val="24"/>
          <w:szCs w:val="24"/>
        </w:rPr>
      </w:pPr>
      <w:r w:rsidRPr="00DD76DA">
        <w:rPr>
          <w:sz w:val="24"/>
          <w:szCs w:val="24"/>
        </w:rPr>
        <w:t>PPP : Partenariat Public-Privé</w:t>
      </w:r>
    </w:p>
    <w:p w14:paraId="52B5C796" w14:textId="77777777" w:rsidR="0083496A" w:rsidRPr="00DD76DA" w:rsidRDefault="0083496A" w:rsidP="0083496A">
      <w:pPr>
        <w:rPr>
          <w:sz w:val="24"/>
          <w:szCs w:val="24"/>
        </w:rPr>
      </w:pPr>
      <w:r w:rsidRPr="00DD76DA">
        <w:rPr>
          <w:sz w:val="24"/>
          <w:szCs w:val="24"/>
        </w:rPr>
        <w:t>PTF : Partenaires Techniques et Financiers</w:t>
      </w:r>
    </w:p>
    <w:p w14:paraId="22B6B882" w14:textId="77777777" w:rsidR="0083496A" w:rsidRPr="00DD76DA" w:rsidRDefault="0083496A" w:rsidP="0083496A">
      <w:pPr>
        <w:rPr>
          <w:sz w:val="24"/>
          <w:szCs w:val="24"/>
        </w:rPr>
      </w:pPr>
      <w:r w:rsidRPr="00DD76DA">
        <w:rPr>
          <w:sz w:val="24"/>
          <w:szCs w:val="24"/>
        </w:rPr>
        <w:t>SMH : Société Mauritanienne des Hydrocarbures</w:t>
      </w:r>
    </w:p>
    <w:p w14:paraId="56D12619" w14:textId="77777777" w:rsidR="0083496A" w:rsidRPr="00DD76DA" w:rsidRDefault="0083496A" w:rsidP="0083496A">
      <w:pPr>
        <w:rPr>
          <w:sz w:val="24"/>
          <w:szCs w:val="24"/>
        </w:rPr>
      </w:pPr>
      <w:r w:rsidRPr="00DD76DA">
        <w:rPr>
          <w:sz w:val="24"/>
          <w:szCs w:val="24"/>
        </w:rPr>
        <w:t>UGP : Unité de Gestion du Projet</w:t>
      </w:r>
    </w:p>
    <w:p w14:paraId="30AF62E0" w14:textId="2B913C40" w:rsidR="008D5FED" w:rsidRDefault="008D5FED">
      <w:pPr>
        <w:spacing w:line="278" w:lineRule="auto"/>
        <w:rPr>
          <w:b/>
          <w:bCs/>
          <w:sz w:val="24"/>
          <w:szCs w:val="24"/>
        </w:rPr>
      </w:pPr>
      <w:r>
        <w:rPr>
          <w:b/>
          <w:bCs/>
          <w:sz w:val="24"/>
          <w:szCs w:val="24"/>
        </w:rPr>
        <w:br w:type="page"/>
      </w:r>
    </w:p>
    <w:p w14:paraId="7DC137C4" w14:textId="77777777" w:rsidR="0083496A" w:rsidRPr="00DD76DA" w:rsidRDefault="0083496A" w:rsidP="0083496A">
      <w:pPr>
        <w:jc w:val="center"/>
        <w:rPr>
          <w:b/>
          <w:bCs/>
          <w:sz w:val="24"/>
          <w:szCs w:val="24"/>
        </w:rPr>
      </w:pPr>
    </w:p>
    <w:p w14:paraId="53710464" w14:textId="77777777" w:rsidR="0083496A" w:rsidRPr="008D5FED" w:rsidRDefault="0083496A">
      <w:pPr>
        <w:pStyle w:val="Title"/>
        <w:widowControl w:val="0"/>
        <w:numPr>
          <w:ilvl w:val="0"/>
          <w:numId w:val="35"/>
        </w:numPr>
        <w:autoSpaceDE w:val="0"/>
        <w:autoSpaceDN w:val="0"/>
        <w:spacing w:after="0"/>
        <w:ind w:right="455"/>
        <w:contextualSpacing w:val="0"/>
        <w:rPr>
          <w:rFonts w:asciiTheme="majorBidi" w:eastAsiaTheme="minorHAnsi" w:hAnsiTheme="majorBidi" w:cs="Times New Roman"/>
          <w:b/>
          <w:bCs/>
          <w:kern w:val="0"/>
          <w:sz w:val="28"/>
          <w:szCs w:val="28"/>
          <w14:ligatures w14:val="none"/>
        </w:rPr>
      </w:pPr>
      <w:bookmarkStart w:id="2" w:name="_Toc241155384"/>
      <w:r w:rsidRPr="008D5FED">
        <w:rPr>
          <w:rFonts w:asciiTheme="majorBidi" w:eastAsiaTheme="minorHAnsi" w:hAnsiTheme="majorBidi"/>
          <w:b/>
          <w:bCs/>
          <w:kern w:val="2"/>
          <w:sz w:val="28"/>
          <w:szCs w:val="28"/>
        </w:rPr>
        <w:t>Introduction et Contexte</w:t>
      </w:r>
      <w:bookmarkEnd w:id="2"/>
    </w:p>
    <w:p w14:paraId="31C24213" w14:textId="77777777" w:rsidR="0083496A" w:rsidRPr="00DD76DA" w:rsidRDefault="0083496A" w:rsidP="008D5FED">
      <w:pPr>
        <w:pStyle w:val="NormalWeb"/>
        <w:spacing w:line="276" w:lineRule="auto"/>
        <w:jc w:val="both"/>
      </w:pPr>
      <w:r w:rsidRPr="00DD76DA">
        <w:t xml:space="preserve">La République Islamique de la Mauritanie dispose, grâce à l'exploitation prochaine du gisement gazier offshore Grand Tortue Ahmeyim (GTA), d'une opportunité historique pour transformer son économie et son paysage énergétique. Actuellement, le secteur énergétique national reste confronté à une forte dépendance aux hydrocarbures importés et coûteux, ainsi qu'à des défis majeurs liés aux infrastructures de transport et de distribution. C'est dans ce contexte stratégique que s'inscrit la Phase 1 du </w:t>
      </w:r>
      <w:r w:rsidRPr="00DD76DA">
        <w:rPr>
          <w:b/>
          <w:bCs/>
        </w:rPr>
        <w:t>Projet de renforcement des capacités nationales de gestion de transport d’électricité et de gaz - Phase 1 (P516520)</w:t>
      </w:r>
      <w:r w:rsidRPr="00DD76DA">
        <w:t xml:space="preserve">. </w:t>
      </w:r>
    </w:p>
    <w:p w14:paraId="046DB344" w14:textId="77777777" w:rsidR="0083496A" w:rsidRPr="00DD76DA" w:rsidRDefault="0083496A" w:rsidP="008D5FED">
      <w:pPr>
        <w:pStyle w:val="NormalWeb"/>
        <w:spacing w:line="276" w:lineRule="auto"/>
        <w:jc w:val="both"/>
      </w:pPr>
      <w:r w:rsidRPr="00DD76DA">
        <w:t>Le projet vise spécifiquement à accompagner le Ministère de l’Énergie et du Pétrole (MEP) et les structures sous sa tutelle (telles que la SMH) dans la mise en place d'un cadre institutionnel, légal et réglementaire robuste. Il s'agit notamment de préparer les études techniques, environnementales et sociales nécessaires au développement des futures infrastructures gazières stratégiques (comme le gazoduc terrestre GTA-Ndiago et les modèles PPP de distribution de gaz) afin de garantir une transition gaz-électricité sécurisée, durable et bénéfique pour le développement du pays.</w:t>
      </w:r>
    </w:p>
    <w:p w14:paraId="7F82DB71" w14:textId="7CA46762" w:rsidR="0083496A" w:rsidRPr="008D5FED" w:rsidRDefault="0083496A" w:rsidP="008530DF">
      <w:pPr>
        <w:pStyle w:val="Title"/>
        <w:widowControl w:val="0"/>
        <w:numPr>
          <w:ilvl w:val="0"/>
          <w:numId w:val="35"/>
        </w:numPr>
        <w:autoSpaceDE w:val="0"/>
        <w:autoSpaceDN w:val="0"/>
        <w:spacing w:after="0" w:line="276" w:lineRule="auto"/>
        <w:ind w:right="455"/>
        <w:contextualSpacing w:val="0"/>
        <w:rPr>
          <w:rFonts w:asciiTheme="majorBidi" w:eastAsiaTheme="minorHAnsi" w:hAnsiTheme="majorBidi"/>
          <w:b/>
          <w:bCs/>
          <w:kern w:val="2"/>
          <w:sz w:val="28"/>
          <w:szCs w:val="28"/>
        </w:rPr>
      </w:pPr>
      <w:bookmarkStart w:id="3" w:name="_Toc241155385"/>
      <w:r w:rsidRPr="008D5FED">
        <w:rPr>
          <w:rFonts w:asciiTheme="majorBidi" w:eastAsiaTheme="minorHAnsi" w:hAnsiTheme="majorBidi"/>
          <w:b/>
          <w:bCs/>
          <w:kern w:val="2"/>
          <w:sz w:val="28"/>
          <w:szCs w:val="28"/>
        </w:rPr>
        <w:t>Présentation du projet</w:t>
      </w:r>
      <w:bookmarkEnd w:id="3"/>
    </w:p>
    <w:p w14:paraId="5A29708A" w14:textId="43467D72" w:rsidR="0083496A" w:rsidRPr="008530DF" w:rsidRDefault="0083496A" w:rsidP="008530DF">
      <w:pPr>
        <w:pStyle w:val="Heading2"/>
        <w:numPr>
          <w:ilvl w:val="1"/>
          <w:numId w:val="35"/>
        </w:numPr>
        <w:spacing w:line="276" w:lineRule="auto"/>
        <w:rPr>
          <w:rFonts w:asciiTheme="majorBidi" w:eastAsiaTheme="minorHAnsi" w:hAnsiTheme="majorBidi"/>
          <w:b/>
          <w:bCs/>
          <w:color w:val="auto"/>
          <w:sz w:val="22"/>
          <w:szCs w:val="22"/>
        </w:rPr>
      </w:pPr>
      <w:bookmarkStart w:id="4" w:name="_Toc241155386"/>
      <w:r w:rsidRPr="008530DF">
        <w:rPr>
          <w:rFonts w:asciiTheme="majorBidi" w:eastAsiaTheme="minorHAnsi" w:hAnsiTheme="majorBidi"/>
          <w:b/>
          <w:bCs/>
          <w:color w:val="auto"/>
          <w:sz w:val="22"/>
          <w:szCs w:val="22"/>
        </w:rPr>
        <w:t>Objectif du projet</w:t>
      </w:r>
      <w:bookmarkEnd w:id="4"/>
    </w:p>
    <w:p w14:paraId="02CF4CF5" w14:textId="77777777" w:rsidR="0083496A" w:rsidRPr="00DD76DA" w:rsidRDefault="0083496A" w:rsidP="008530DF">
      <w:pPr>
        <w:spacing w:line="276" w:lineRule="auto"/>
        <w:jc w:val="both"/>
        <w:rPr>
          <w:rFonts w:ascii="Times New Roman" w:eastAsia="Times New Roman" w:hAnsi="Times New Roman" w:cs="Times New Roman"/>
          <w:kern w:val="0"/>
          <w:sz w:val="24"/>
          <w:szCs w:val="24"/>
          <w14:ligatures w14:val="none"/>
        </w:rPr>
      </w:pPr>
      <w:r w:rsidRPr="00DD76DA">
        <w:rPr>
          <w:rFonts w:ascii="Times New Roman" w:eastAsia="Times New Roman" w:hAnsi="Times New Roman" w:cs="Times New Roman"/>
          <w:kern w:val="0"/>
          <w:sz w:val="24"/>
          <w:szCs w:val="24"/>
          <w14:ligatures w14:val="none"/>
        </w:rPr>
        <w:t>L’objectif de développement du projet (PDO) de la Phase 1 est de : Renforcer la capacité institutionnelle du Sénégal et de la Mauritanie à gérer leurs ressources gazières et à préparer des investissements dans la transformation du gaz en électricité</w:t>
      </w:r>
    </w:p>
    <w:p w14:paraId="65C7F8EA" w14:textId="18473F78" w:rsidR="0083496A" w:rsidRPr="008530DF" w:rsidRDefault="0083496A" w:rsidP="008530DF">
      <w:pPr>
        <w:pStyle w:val="Heading2"/>
        <w:numPr>
          <w:ilvl w:val="1"/>
          <w:numId w:val="35"/>
        </w:numPr>
        <w:spacing w:line="276" w:lineRule="auto"/>
        <w:rPr>
          <w:rFonts w:asciiTheme="majorBidi" w:eastAsiaTheme="minorHAnsi" w:hAnsiTheme="majorBidi"/>
          <w:b/>
          <w:bCs/>
          <w:color w:val="auto"/>
          <w:sz w:val="22"/>
          <w:szCs w:val="22"/>
        </w:rPr>
      </w:pPr>
      <w:bookmarkStart w:id="5" w:name="_Toc241155387"/>
      <w:r w:rsidRPr="008530DF">
        <w:rPr>
          <w:rFonts w:asciiTheme="majorBidi" w:eastAsiaTheme="minorHAnsi" w:hAnsiTheme="majorBidi"/>
          <w:b/>
          <w:bCs/>
          <w:color w:val="auto"/>
          <w:sz w:val="22"/>
          <w:szCs w:val="22"/>
        </w:rPr>
        <w:t>Composantes du projet</w:t>
      </w:r>
      <w:bookmarkEnd w:id="5"/>
    </w:p>
    <w:p w14:paraId="43A525C4" w14:textId="77777777" w:rsidR="0083496A" w:rsidRPr="00433D9E" w:rsidRDefault="0083496A" w:rsidP="008530DF">
      <w:pPr>
        <w:spacing w:line="276" w:lineRule="auto"/>
        <w:jc w:val="both"/>
        <w:rPr>
          <w:rFonts w:ascii="Times New Roman" w:eastAsia="Times New Roman" w:hAnsi="Times New Roman" w:cs="Times New Roman"/>
          <w:sz w:val="24"/>
          <w:szCs w:val="24"/>
        </w:rPr>
      </w:pPr>
      <w:r w:rsidRPr="00433D9E">
        <w:rPr>
          <w:rFonts w:ascii="Times New Roman" w:eastAsia="Times New Roman" w:hAnsi="Times New Roman" w:cs="Times New Roman"/>
          <w:sz w:val="24"/>
          <w:szCs w:val="24"/>
        </w:rPr>
        <w:t>Le projet est structuré en quatre composantes principales :</w:t>
      </w:r>
    </w:p>
    <w:p w14:paraId="31A6AB3E" w14:textId="77777777" w:rsidR="0083496A" w:rsidRPr="00433D9E" w:rsidRDefault="0083496A" w:rsidP="008530DF">
      <w:pPr>
        <w:numPr>
          <w:ilvl w:val="0"/>
          <w:numId w:val="2"/>
        </w:numPr>
        <w:spacing w:line="276" w:lineRule="auto"/>
        <w:jc w:val="both"/>
        <w:rPr>
          <w:rFonts w:ascii="Times New Roman" w:eastAsia="Times New Roman" w:hAnsi="Times New Roman" w:cs="Times New Roman"/>
          <w:sz w:val="24"/>
          <w:szCs w:val="24"/>
        </w:rPr>
      </w:pPr>
      <w:r w:rsidRPr="00433D9E">
        <w:rPr>
          <w:rFonts w:ascii="Times New Roman" w:eastAsia="Times New Roman" w:hAnsi="Times New Roman" w:cs="Times New Roman"/>
          <w:b/>
          <w:bCs/>
          <w:sz w:val="24"/>
          <w:szCs w:val="24"/>
        </w:rPr>
        <w:t xml:space="preserve">Composante </w:t>
      </w:r>
      <w:r w:rsidRPr="00433D9E">
        <w:rPr>
          <w:rFonts w:ascii="Times New Roman" w:eastAsia="Times New Roman" w:hAnsi="Times New Roman" w:cs="Times New Roman"/>
          <w:sz w:val="24"/>
          <w:szCs w:val="24"/>
        </w:rPr>
        <w:t>1 - Gouvernance, réglementation et développement du marché : Soutient le développement de l'architecture juridique et de marché pour une gouvernance efficace du secteur gazier. En Mauritanie, cela inclut le renforcement institutionnel de la distribution de gaz (SMH), les modèles économiques PPP, le gazoduc GTA-Ndiago et la mise à jour du plan directeur du gaz.</w:t>
      </w:r>
    </w:p>
    <w:p w14:paraId="62043799" w14:textId="77777777" w:rsidR="0083496A" w:rsidRPr="00433D9E" w:rsidRDefault="0083496A" w:rsidP="008530DF">
      <w:pPr>
        <w:numPr>
          <w:ilvl w:val="0"/>
          <w:numId w:val="2"/>
        </w:numPr>
        <w:spacing w:line="276" w:lineRule="auto"/>
        <w:jc w:val="both"/>
        <w:rPr>
          <w:rFonts w:ascii="Times New Roman" w:eastAsia="Times New Roman" w:hAnsi="Times New Roman" w:cs="Times New Roman"/>
          <w:sz w:val="24"/>
          <w:szCs w:val="24"/>
        </w:rPr>
      </w:pPr>
      <w:r w:rsidRPr="00433D9E">
        <w:rPr>
          <w:rFonts w:ascii="Times New Roman" w:eastAsia="Times New Roman" w:hAnsi="Times New Roman" w:cs="Times New Roman"/>
          <w:b/>
          <w:bCs/>
          <w:sz w:val="24"/>
          <w:szCs w:val="24"/>
        </w:rPr>
        <w:t>Composante 2</w:t>
      </w:r>
      <w:r w:rsidRPr="00433D9E">
        <w:rPr>
          <w:rFonts w:ascii="Times New Roman" w:eastAsia="Times New Roman" w:hAnsi="Times New Roman" w:cs="Times New Roman"/>
          <w:sz w:val="24"/>
          <w:szCs w:val="24"/>
        </w:rPr>
        <w:t xml:space="preserve"> - Opérations techniques, infrastructures et électricité : Renforce la capacité technique pour superviser les opérations et préparer les réseaux électriques. En Mauritanie, cela couvre l'appui O&amp;M des réservoirs pour la SMH, et la modernisation du réseau de transport et du dispatching de SOMELEC </w:t>
      </w:r>
    </w:p>
    <w:p w14:paraId="56D5CCC3" w14:textId="77777777" w:rsidR="0083496A" w:rsidRPr="00433D9E" w:rsidRDefault="0083496A" w:rsidP="008530DF">
      <w:pPr>
        <w:numPr>
          <w:ilvl w:val="0"/>
          <w:numId w:val="2"/>
        </w:numPr>
        <w:spacing w:line="276" w:lineRule="auto"/>
        <w:jc w:val="both"/>
        <w:rPr>
          <w:rFonts w:ascii="Times New Roman" w:eastAsia="Times New Roman" w:hAnsi="Times New Roman" w:cs="Times New Roman"/>
          <w:sz w:val="24"/>
          <w:szCs w:val="24"/>
        </w:rPr>
      </w:pPr>
      <w:r w:rsidRPr="00433D9E">
        <w:rPr>
          <w:rFonts w:ascii="Times New Roman" w:eastAsia="Times New Roman" w:hAnsi="Times New Roman" w:cs="Times New Roman"/>
          <w:b/>
          <w:bCs/>
          <w:sz w:val="24"/>
          <w:szCs w:val="24"/>
        </w:rPr>
        <w:t>Composante 3</w:t>
      </w:r>
      <w:r w:rsidRPr="00433D9E">
        <w:rPr>
          <w:rFonts w:ascii="Times New Roman" w:eastAsia="Times New Roman" w:hAnsi="Times New Roman" w:cs="Times New Roman"/>
          <w:sz w:val="24"/>
          <w:szCs w:val="24"/>
        </w:rPr>
        <w:t xml:space="preserve"> - Environnement, social, sécurité et capital humain : Assure la gestion responsable de la transition gaz-électricité et développe le capital humain.</w:t>
      </w:r>
    </w:p>
    <w:p w14:paraId="631D290F" w14:textId="77777777" w:rsidR="0083496A" w:rsidRPr="00433D9E" w:rsidRDefault="0083496A" w:rsidP="008530DF">
      <w:pPr>
        <w:pStyle w:val="ListParagraph"/>
        <w:numPr>
          <w:ilvl w:val="0"/>
          <w:numId w:val="1"/>
        </w:numPr>
        <w:spacing w:line="276" w:lineRule="auto"/>
        <w:jc w:val="both"/>
        <w:rPr>
          <w:rFonts w:ascii="Times New Roman" w:eastAsia="Times New Roman" w:hAnsi="Times New Roman" w:cs="Times New Roman"/>
          <w:b/>
          <w:bCs/>
          <w:sz w:val="24"/>
          <w:szCs w:val="24"/>
        </w:rPr>
      </w:pPr>
      <w:r w:rsidRPr="00433D9E">
        <w:rPr>
          <w:rFonts w:ascii="Times New Roman" w:eastAsia="Times New Roman" w:hAnsi="Times New Roman" w:cs="Times New Roman"/>
          <w:b/>
          <w:bCs/>
          <w:sz w:val="24"/>
          <w:szCs w:val="24"/>
        </w:rPr>
        <w:t>Composante 4</w:t>
      </w:r>
      <w:r w:rsidRPr="00433D9E">
        <w:rPr>
          <w:rFonts w:ascii="Times New Roman" w:eastAsia="Times New Roman" w:hAnsi="Times New Roman" w:cs="Times New Roman"/>
          <w:sz w:val="24"/>
          <w:szCs w:val="24"/>
        </w:rPr>
        <w:t xml:space="preserve"> - Préparation de la Phase 2 : Finance les études (FEED, EIES) et les travaux de conseil nécessaires pour rendre bancables les investissements de la Phase 2. </w:t>
      </w:r>
    </w:p>
    <w:p w14:paraId="70BD0494" w14:textId="77777777" w:rsidR="0083496A" w:rsidRPr="00433D9E" w:rsidRDefault="0083496A" w:rsidP="008530DF">
      <w:pPr>
        <w:spacing w:line="276" w:lineRule="auto"/>
        <w:jc w:val="both"/>
        <w:rPr>
          <w:rFonts w:ascii="Times New Roman" w:eastAsia="Times New Roman" w:hAnsi="Times New Roman" w:cs="Times New Roman"/>
          <w:sz w:val="24"/>
          <w:szCs w:val="24"/>
        </w:rPr>
      </w:pPr>
      <w:r w:rsidRPr="00433D9E">
        <w:rPr>
          <w:rFonts w:ascii="Times New Roman" w:eastAsia="Times New Roman" w:hAnsi="Times New Roman" w:cs="Times New Roman"/>
          <w:sz w:val="24"/>
          <w:szCs w:val="24"/>
        </w:rPr>
        <w:lastRenderedPageBreak/>
        <w:t xml:space="preserve">Le PMPP encadrera la mobilisation des acteurs autour des sous-composantes spécifiques suivantes mises en œuvre en Mauritanie : </w:t>
      </w:r>
    </w:p>
    <w:p w14:paraId="1E65A3B2" w14:textId="77777777" w:rsidR="0083496A" w:rsidRPr="00433D9E" w:rsidRDefault="0083496A" w:rsidP="008530DF">
      <w:pPr>
        <w:numPr>
          <w:ilvl w:val="0"/>
          <w:numId w:val="31"/>
        </w:numPr>
        <w:spacing w:line="276" w:lineRule="auto"/>
        <w:jc w:val="both"/>
        <w:rPr>
          <w:rFonts w:ascii="Times New Roman" w:eastAsia="Times New Roman" w:hAnsi="Times New Roman" w:cs="Times New Roman"/>
          <w:sz w:val="24"/>
          <w:szCs w:val="24"/>
        </w:rPr>
      </w:pPr>
      <w:r w:rsidRPr="00433D9E">
        <w:rPr>
          <w:rFonts w:ascii="Times New Roman" w:eastAsia="Times New Roman" w:hAnsi="Times New Roman" w:cs="Times New Roman"/>
          <w:b/>
          <w:bCs/>
          <w:sz w:val="24"/>
          <w:szCs w:val="24"/>
        </w:rPr>
        <w:t>Sous-composante 1.3 – Renforcement institutionnel de la distribution de gaz :</w:t>
      </w:r>
      <w:r w:rsidRPr="00433D9E">
        <w:rPr>
          <w:rFonts w:ascii="Times New Roman" w:eastAsia="Times New Roman" w:hAnsi="Times New Roman" w:cs="Times New Roman"/>
          <w:sz w:val="24"/>
          <w:szCs w:val="24"/>
        </w:rPr>
        <w:t xml:space="preserve"> Appui à la SMH pour l'élaboration de modèles commerciaux PPP pour la distribution de gaz, gestion du gazoduc GTA-Ndiago, et mise à jour du Plan directeur national du gaz. </w:t>
      </w:r>
    </w:p>
    <w:p w14:paraId="3C4595F1" w14:textId="77777777" w:rsidR="0083496A" w:rsidRPr="00433D9E" w:rsidRDefault="0083496A" w:rsidP="008530DF">
      <w:pPr>
        <w:numPr>
          <w:ilvl w:val="0"/>
          <w:numId w:val="31"/>
        </w:numPr>
        <w:spacing w:line="276" w:lineRule="auto"/>
        <w:jc w:val="both"/>
        <w:rPr>
          <w:rFonts w:ascii="Times New Roman" w:eastAsia="Times New Roman" w:hAnsi="Times New Roman" w:cs="Times New Roman"/>
          <w:sz w:val="24"/>
          <w:szCs w:val="24"/>
        </w:rPr>
      </w:pPr>
      <w:r w:rsidRPr="00433D9E">
        <w:rPr>
          <w:rFonts w:ascii="Times New Roman" w:eastAsia="Times New Roman" w:hAnsi="Times New Roman" w:cs="Times New Roman"/>
          <w:b/>
          <w:bCs/>
          <w:sz w:val="24"/>
          <w:szCs w:val="24"/>
        </w:rPr>
        <w:t>Sous-composante 1.4 – Planification et études du marché du gaz :</w:t>
      </w:r>
      <w:r w:rsidRPr="00433D9E">
        <w:rPr>
          <w:rFonts w:ascii="Times New Roman" w:eastAsia="Times New Roman" w:hAnsi="Times New Roman" w:cs="Times New Roman"/>
          <w:sz w:val="24"/>
          <w:szCs w:val="24"/>
        </w:rPr>
        <w:t xml:space="preserve"> Évaluation de la demande intérieure de gaz et identification des opportunités d'investissement prioritaires. </w:t>
      </w:r>
    </w:p>
    <w:p w14:paraId="549613D1" w14:textId="77777777" w:rsidR="0083496A" w:rsidRPr="00433D9E" w:rsidRDefault="0083496A" w:rsidP="008530DF">
      <w:pPr>
        <w:numPr>
          <w:ilvl w:val="0"/>
          <w:numId w:val="31"/>
        </w:numPr>
        <w:spacing w:line="276" w:lineRule="auto"/>
        <w:jc w:val="both"/>
        <w:rPr>
          <w:rFonts w:ascii="Times New Roman" w:eastAsia="Times New Roman" w:hAnsi="Times New Roman" w:cs="Times New Roman"/>
          <w:sz w:val="24"/>
          <w:szCs w:val="24"/>
        </w:rPr>
      </w:pPr>
      <w:r w:rsidRPr="00433D9E">
        <w:rPr>
          <w:rFonts w:ascii="Times New Roman" w:eastAsia="Times New Roman" w:hAnsi="Times New Roman" w:cs="Times New Roman"/>
          <w:b/>
          <w:bCs/>
          <w:sz w:val="24"/>
          <w:szCs w:val="24"/>
        </w:rPr>
        <w:t>Sous-composante 1.6 – Gestion du programme et coordination :</w:t>
      </w:r>
      <w:r w:rsidRPr="00433D9E">
        <w:rPr>
          <w:rFonts w:ascii="Times New Roman" w:eastAsia="Times New Roman" w:hAnsi="Times New Roman" w:cs="Times New Roman"/>
          <w:sz w:val="24"/>
          <w:szCs w:val="24"/>
        </w:rPr>
        <w:t xml:space="preserve"> Gestion fiduciaire et alignement réglementaire régional. </w:t>
      </w:r>
    </w:p>
    <w:p w14:paraId="1C832DE4" w14:textId="77777777" w:rsidR="0083496A" w:rsidRPr="00433D9E" w:rsidRDefault="0083496A" w:rsidP="008530DF">
      <w:pPr>
        <w:numPr>
          <w:ilvl w:val="0"/>
          <w:numId w:val="31"/>
        </w:numPr>
        <w:spacing w:line="276" w:lineRule="auto"/>
        <w:jc w:val="both"/>
        <w:rPr>
          <w:rFonts w:ascii="Times New Roman" w:eastAsia="Times New Roman" w:hAnsi="Times New Roman" w:cs="Times New Roman"/>
          <w:sz w:val="24"/>
          <w:szCs w:val="24"/>
        </w:rPr>
      </w:pPr>
      <w:r w:rsidRPr="00433D9E">
        <w:rPr>
          <w:rFonts w:ascii="Times New Roman" w:eastAsia="Times New Roman" w:hAnsi="Times New Roman" w:cs="Times New Roman"/>
          <w:b/>
          <w:bCs/>
          <w:sz w:val="24"/>
          <w:szCs w:val="24"/>
        </w:rPr>
        <w:t>Sous-composante 2.3 – Appui technique à l'exploitation et à l'entretien des infrastructures gazières :</w:t>
      </w:r>
      <w:r w:rsidRPr="00433D9E">
        <w:rPr>
          <w:rFonts w:ascii="Times New Roman" w:eastAsia="Times New Roman" w:hAnsi="Times New Roman" w:cs="Times New Roman"/>
          <w:sz w:val="24"/>
          <w:szCs w:val="24"/>
        </w:rPr>
        <w:t xml:space="preserve"> Appui à la SMH pour la gestion du réservoir (modèles statiques et dynamiques) afin d'optimiser les stratégies de production. </w:t>
      </w:r>
    </w:p>
    <w:p w14:paraId="6F844C0E" w14:textId="77777777" w:rsidR="0083496A" w:rsidRPr="00433D9E" w:rsidRDefault="0083496A" w:rsidP="008530DF">
      <w:pPr>
        <w:numPr>
          <w:ilvl w:val="0"/>
          <w:numId w:val="31"/>
        </w:numPr>
        <w:spacing w:line="276" w:lineRule="auto"/>
        <w:jc w:val="both"/>
        <w:rPr>
          <w:rFonts w:ascii="Times New Roman" w:eastAsia="Times New Roman" w:hAnsi="Times New Roman" w:cs="Times New Roman"/>
          <w:sz w:val="24"/>
          <w:szCs w:val="24"/>
        </w:rPr>
      </w:pPr>
      <w:r w:rsidRPr="00433D9E">
        <w:rPr>
          <w:rFonts w:ascii="Times New Roman" w:eastAsia="Times New Roman" w:hAnsi="Times New Roman" w:cs="Times New Roman"/>
          <w:b/>
          <w:bCs/>
          <w:sz w:val="24"/>
          <w:szCs w:val="24"/>
        </w:rPr>
        <w:t>Sous-composante 2.4 – Réseau de transport d'électricité et dispatching :</w:t>
      </w:r>
      <w:r w:rsidRPr="00433D9E">
        <w:rPr>
          <w:rFonts w:ascii="Times New Roman" w:eastAsia="Times New Roman" w:hAnsi="Times New Roman" w:cs="Times New Roman"/>
          <w:sz w:val="24"/>
          <w:szCs w:val="24"/>
        </w:rPr>
        <w:t xml:space="preserve"> Renforcement de la SOMELEC incluant l'élaboration de codes de réseau modernes, l'acquisition d'équipements de sécurité, la mise en place d'un groupe de travail sur les drones pour l'inspection des lignes, et des études sur la participation du secteur privé. </w:t>
      </w:r>
    </w:p>
    <w:p w14:paraId="4166B92F" w14:textId="77777777" w:rsidR="0083496A" w:rsidRPr="00433D9E" w:rsidRDefault="0083496A" w:rsidP="008530DF">
      <w:pPr>
        <w:numPr>
          <w:ilvl w:val="0"/>
          <w:numId w:val="31"/>
        </w:numPr>
        <w:spacing w:line="276" w:lineRule="auto"/>
        <w:jc w:val="both"/>
        <w:rPr>
          <w:rFonts w:ascii="Times New Roman" w:eastAsia="Times New Roman" w:hAnsi="Times New Roman" w:cs="Times New Roman"/>
          <w:sz w:val="24"/>
          <w:szCs w:val="24"/>
        </w:rPr>
      </w:pPr>
      <w:r w:rsidRPr="00433D9E">
        <w:rPr>
          <w:rFonts w:ascii="Times New Roman" w:eastAsia="Times New Roman" w:hAnsi="Times New Roman" w:cs="Times New Roman"/>
          <w:b/>
          <w:bCs/>
          <w:sz w:val="24"/>
          <w:szCs w:val="24"/>
        </w:rPr>
        <w:t>Sous-composante 3.3 – Formation technique et spécialisée :</w:t>
      </w:r>
      <w:r w:rsidRPr="00433D9E">
        <w:rPr>
          <w:rFonts w:ascii="Times New Roman" w:eastAsia="Times New Roman" w:hAnsi="Times New Roman" w:cs="Times New Roman"/>
          <w:sz w:val="24"/>
          <w:szCs w:val="24"/>
        </w:rPr>
        <w:t xml:space="preserve"> Programme de formation technique et professionnelle à l'intention des Mauritaniens dans les domaines techniques identifiés. </w:t>
      </w:r>
    </w:p>
    <w:p w14:paraId="1CDB22E8" w14:textId="77777777" w:rsidR="0083496A" w:rsidRPr="00433D9E" w:rsidRDefault="0083496A" w:rsidP="008530DF">
      <w:pPr>
        <w:numPr>
          <w:ilvl w:val="0"/>
          <w:numId w:val="31"/>
        </w:numPr>
        <w:spacing w:line="276" w:lineRule="auto"/>
        <w:jc w:val="both"/>
        <w:rPr>
          <w:rFonts w:ascii="Times New Roman" w:eastAsia="Times New Roman" w:hAnsi="Times New Roman" w:cs="Times New Roman"/>
          <w:sz w:val="24"/>
          <w:szCs w:val="24"/>
        </w:rPr>
      </w:pPr>
      <w:r w:rsidRPr="00433D9E">
        <w:rPr>
          <w:rFonts w:ascii="Times New Roman" w:eastAsia="Times New Roman" w:hAnsi="Times New Roman" w:cs="Times New Roman"/>
          <w:b/>
          <w:bCs/>
          <w:sz w:val="24"/>
          <w:szCs w:val="24"/>
        </w:rPr>
        <w:t>Sous-composante 4.1 – Ingénierie et faisabilité technique :</w:t>
      </w:r>
      <w:r w:rsidRPr="00433D9E">
        <w:rPr>
          <w:rFonts w:ascii="Times New Roman" w:eastAsia="Times New Roman" w:hAnsi="Times New Roman" w:cs="Times New Roman"/>
          <w:sz w:val="24"/>
          <w:szCs w:val="24"/>
        </w:rPr>
        <w:t xml:space="preserve"> Études de pré-FEED et FEED pour les infrastructures gazières intermédiaires et aval (pipelines et installations de traitement associés au système GTA-Ndiago). </w:t>
      </w:r>
    </w:p>
    <w:p w14:paraId="1DD6E82A" w14:textId="77777777" w:rsidR="0083496A" w:rsidRDefault="0083496A" w:rsidP="008530DF">
      <w:pPr>
        <w:numPr>
          <w:ilvl w:val="0"/>
          <w:numId w:val="31"/>
        </w:numPr>
        <w:spacing w:line="276" w:lineRule="auto"/>
        <w:jc w:val="both"/>
        <w:rPr>
          <w:rFonts w:ascii="Times New Roman" w:eastAsia="Times New Roman" w:hAnsi="Times New Roman" w:cs="Times New Roman"/>
          <w:sz w:val="24"/>
          <w:szCs w:val="24"/>
        </w:rPr>
      </w:pPr>
      <w:r w:rsidRPr="00433D9E">
        <w:rPr>
          <w:rFonts w:ascii="Times New Roman" w:eastAsia="Times New Roman" w:hAnsi="Times New Roman" w:cs="Times New Roman"/>
          <w:b/>
          <w:bCs/>
          <w:sz w:val="24"/>
          <w:szCs w:val="24"/>
        </w:rPr>
        <w:t>Sous-composante 4.3 – Structuration des PPP et mobilisation des investissements :</w:t>
      </w:r>
      <w:r w:rsidRPr="00433D9E">
        <w:rPr>
          <w:rFonts w:ascii="Times New Roman" w:eastAsia="Times New Roman" w:hAnsi="Times New Roman" w:cs="Times New Roman"/>
          <w:sz w:val="24"/>
          <w:szCs w:val="24"/>
        </w:rPr>
        <w:t xml:space="preserve"> Études de structuration des PPP pour l'infrastructure des gazoducs et préparation des garanties de la MIGA. </w:t>
      </w:r>
    </w:p>
    <w:p w14:paraId="26F4B614" w14:textId="77777777" w:rsidR="00A46376" w:rsidRPr="00433D9E" w:rsidRDefault="00A46376" w:rsidP="00A46376">
      <w:pPr>
        <w:spacing w:after="0" w:line="276" w:lineRule="auto"/>
        <w:ind w:left="720"/>
        <w:jc w:val="both"/>
        <w:rPr>
          <w:rFonts w:ascii="Times New Roman" w:eastAsia="Times New Roman" w:hAnsi="Times New Roman" w:cs="Times New Roman"/>
          <w:sz w:val="24"/>
          <w:szCs w:val="24"/>
        </w:rPr>
      </w:pPr>
    </w:p>
    <w:p w14:paraId="58954A7B" w14:textId="60B75ED4" w:rsidR="0083496A" w:rsidRPr="008530DF" w:rsidRDefault="0083496A" w:rsidP="008530DF">
      <w:pPr>
        <w:pStyle w:val="Title"/>
        <w:widowControl w:val="0"/>
        <w:numPr>
          <w:ilvl w:val="0"/>
          <w:numId w:val="35"/>
        </w:numPr>
        <w:autoSpaceDE w:val="0"/>
        <w:autoSpaceDN w:val="0"/>
        <w:spacing w:after="0" w:line="276" w:lineRule="auto"/>
        <w:ind w:right="455"/>
        <w:contextualSpacing w:val="0"/>
        <w:rPr>
          <w:rFonts w:asciiTheme="majorBidi" w:eastAsiaTheme="minorHAnsi" w:hAnsiTheme="majorBidi"/>
          <w:b/>
          <w:bCs/>
          <w:kern w:val="2"/>
          <w:sz w:val="28"/>
          <w:szCs w:val="28"/>
        </w:rPr>
      </w:pPr>
      <w:bookmarkStart w:id="6" w:name="_Toc241155388"/>
      <w:r w:rsidRPr="008530DF">
        <w:rPr>
          <w:rFonts w:asciiTheme="majorBidi" w:eastAsiaTheme="minorHAnsi" w:hAnsiTheme="majorBidi"/>
          <w:b/>
          <w:bCs/>
          <w:kern w:val="2"/>
          <w:sz w:val="28"/>
          <w:szCs w:val="28"/>
        </w:rPr>
        <w:t>Objectif du PMPP</w:t>
      </w:r>
      <w:bookmarkEnd w:id="6"/>
      <w:r w:rsidRPr="008530DF">
        <w:rPr>
          <w:rFonts w:asciiTheme="majorBidi" w:eastAsiaTheme="minorHAnsi" w:hAnsiTheme="majorBidi"/>
          <w:b/>
          <w:bCs/>
          <w:kern w:val="2"/>
          <w:sz w:val="28"/>
          <w:szCs w:val="28"/>
        </w:rPr>
        <w:t xml:space="preserve"> </w:t>
      </w:r>
    </w:p>
    <w:p w14:paraId="25AA9982" w14:textId="77777777" w:rsidR="00A46376" w:rsidRDefault="00A46376" w:rsidP="00A46376">
      <w:pPr>
        <w:spacing w:line="276" w:lineRule="auto"/>
        <w:jc w:val="both"/>
        <w:rPr>
          <w:rFonts w:asciiTheme="majorBidi" w:hAnsiTheme="majorBidi" w:cstheme="majorBidi"/>
          <w:sz w:val="24"/>
          <w:szCs w:val="24"/>
        </w:rPr>
      </w:pPr>
    </w:p>
    <w:p w14:paraId="72572580" w14:textId="4F8D0FD6" w:rsidR="0083496A" w:rsidRPr="00A46376" w:rsidRDefault="0083496A" w:rsidP="00A46376">
      <w:pPr>
        <w:spacing w:line="276" w:lineRule="auto"/>
        <w:jc w:val="both"/>
        <w:rPr>
          <w:rFonts w:asciiTheme="majorBidi" w:eastAsia="Aptos" w:hAnsiTheme="majorBidi" w:cstheme="majorBidi"/>
          <w:sz w:val="24"/>
          <w:szCs w:val="24"/>
          <w:lang w:val="fr"/>
        </w:rPr>
      </w:pPr>
      <w:r w:rsidRPr="00A46376">
        <w:rPr>
          <w:rFonts w:asciiTheme="majorBidi" w:hAnsiTheme="majorBidi" w:cstheme="majorBidi"/>
          <w:sz w:val="24"/>
          <w:szCs w:val="24"/>
        </w:rPr>
        <w:t xml:space="preserve">L’objectif global de ce Plan de Mobilisation des Parties Prenantes (PMPP) est de favoriser le développement de relations constructives et transparentes entre les Unités de Gestion du Projet (UGP-MEP et UGP-SOMELEC) et les différents acteurs institutionnels, la société civile et les opérateurs privés concernés par les </w:t>
      </w:r>
      <w:r w:rsidR="00A46376" w:rsidRPr="00A46376">
        <w:rPr>
          <w:rFonts w:asciiTheme="majorBidi" w:hAnsiTheme="majorBidi" w:cstheme="majorBidi"/>
          <w:sz w:val="24"/>
          <w:szCs w:val="24"/>
        </w:rPr>
        <w:t>activités du</w:t>
      </w:r>
      <w:r w:rsidRPr="00A46376">
        <w:rPr>
          <w:rFonts w:asciiTheme="majorBidi" w:hAnsiTheme="majorBidi" w:cstheme="majorBidi"/>
          <w:sz w:val="24"/>
          <w:szCs w:val="24"/>
        </w:rPr>
        <w:t xml:space="preserve"> projet.</w:t>
      </w:r>
      <w:r w:rsidR="56BC1AB4" w:rsidRPr="00A46376">
        <w:rPr>
          <w:rFonts w:asciiTheme="majorBidi" w:hAnsiTheme="majorBidi" w:cstheme="majorBidi"/>
          <w:sz w:val="24"/>
          <w:szCs w:val="24"/>
        </w:rPr>
        <w:t xml:space="preserve"> Il </w:t>
      </w:r>
      <w:r w:rsidR="56BC1AB4" w:rsidRPr="00A46376">
        <w:rPr>
          <w:rFonts w:asciiTheme="majorBidi" w:eastAsia="Aptos" w:hAnsiTheme="majorBidi" w:cstheme="majorBidi"/>
          <w:sz w:val="24"/>
          <w:szCs w:val="24"/>
          <w:lang w:val="fr"/>
        </w:rPr>
        <w:t>définit les modalités selon lesquelles les UGP-MEP et UGP-SOMELEC identifieront, informeront et consulteront, de manière continue, inclusive, transparente et culturellement appropriée, les parties touchées et les autres parties concernées pendant tout le cycle du projet.</w:t>
      </w:r>
    </w:p>
    <w:p w14:paraId="14469105" w14:textId="77777777" w:rsidR="0083496A" w:rsidRPr="00A46376" w:rsidRDefault="0083496A" w:rsidP="00A46376">
      <w:pPr>
        <w:spacing w:line="276" w:lineRule="auto"/>
        <w:jc w:val="both"/>
        <w:rPr>
          <w:rFonts w:asciiTheme="majorBidi" w:hAnsiTheme="majorBidi" w:cstheme="majorBidi"/>
          <w:sz w:val="24"/>
          <w:szCs w:val="24"/>
        </w:rPr>
      </w:pPr>
      <w:r w:rsidRPr="00A46376">
        <w:rPr>
          <w:rFonts w:asciiTheme="majorBidi" w:hAnsiTheme="majorBidi" w:cstheme="majorBidi"/>
          <w:sz w:val="24"/>
          <w:szCs w:val="24"/>
        </w:rPr>
        <w:t>Le PMPP vise spécifiquement à :</w:t>
      </w:r>
    </w:p>
    <w:p w14:paraId="7236277C" w14:textId="1DC8CECD" w:rsidR="0083496A" w:rsidRPr="00A46376" w:rsidRDefault="0083496A" w:rsidP="00A46376">
      <w:pPr>
        <w:numPr>
          <w:ilvl w:val="0"/>
          <w:numId w:val="3"/>
        </w:numPr>
        <w:spacing w:line="276" w:lineRule="auto"/>
        <w:jc w:val="both"/>
        <w:rPr>
          <w:rFonts w:asciiTheme="majorBidi" w:hAnsiTheme="majorBidi" w:cstheme="majorBidi"/>
          <w:sz w:val="24"/>
          <w:szCs w:val="24"/>
        </w:rPr>
      </w:pPr>
      <w:r w:rsidRPr="00A46376">
        <w:rPr>
          <w:rFonts w:asciiTheme="majorBidi" w:hAnsiTheme="majorBidi" w:cstheme="majorBidi"/>
          <w:sz w:val="24"/>
          <w:szCs w:val="24"/>
        </w:rPr>
        <w:lastRenderedPageBreak/>
        <w:t>Assurer une consultation adéquate des parties prenantes lors de la conception des réformes institutionnelles et politiques (nouvelles lois, réglementations)</w:t>
      </w:r>
      <w:r w:rsidR="37BE2880" w:rsidRPr="00A46376">
        <w:rPr>
          <w:rFonts w:asciiTheme="majorBidi" w:hAnsiTheme="majorBidi" w:cstheme="majorBidi"/>
          <w:sz w:val="24"/>
          <w:szCs w:val="24"/>
        </w:rPr>
        <w:t xml:space="preserve"> </w:t>
      </w:r>
      <w:r w:rsidR="37BE2880" w:rsidRPr="00A46376">
        <w:rPr>
          <w:rFonts w:asciiTheme="majorBidi" w:eastAsia="Aptos" w:hAnsiTheme="majorBidi" w:cstheme="majorBidi"/>
          <w:sz w:val="24"/>
          <w:szCs w:val="24"/>
          <w:lang w:val="fr"/>
        </w:rPr>
        <w:t>avant les décisions clés et pendant la préparation et la mise en œuvre du projet</w:t>
      </w:r>
      <w:r w:rsidRPr="00A46376">
        <w:rPr>
          <w:rFonts w:asciiTheme="majorBidi" w:hAnsiTheme="majorBidi" w:cstheme="majorBidi"/>
          <w:sz w:val="24"/>
          <w:szCs w:val="24"/>
        </w:rPr>
        <w:t>.</w:t>
      </w:r>
    </w:p>
    <w:p w14:paraId="17FF6DA0" w14:textId="675D727C" w:rsidR="0083496A" w:rsidRPr="00A46376" w:rsidRDefault="7966674F" w:rsidP="00A46376">
      <w:pPr>
        <w:numPr>
          <w:ilvl w:val="0"/>
          <w:numId w:val="3"/>
        </w:numPr>
        <w:spacing w:line="276" w:lineRule="auto"/>
        <w:jc w:val="both"/>
        <w:rPr>
          <w:rFonts w:asciiTheme="majorBidi" w:eastAsia="Aptos" w:hAnsiTheme="majorBidi" w:cstheme="majorBidi"/>
          <w:sz w:val="24"/>
          <w:szCs w:val="24"/>
          <w:lang w:val="fr"/>
        </w:rPr>
      </w:pPr>
      <w:r w:rsidRPr="00A46376">
        <w:rPr>
          <w:rFonts w:asciiTheme="majorBidi" w:eastAsia="Aptos" w:hAnsiTheme="majorBidi" w:cstheme="majorBidi"/>
          <w:sz w:val="24"/>
          <w:szCs w:val="24"/>
          <w:lang w:val="fr"/>
        </w:rPr>
        <w:t>Mettre à la disposition des parties prenantes, en temps utile, des informations exactes, accessibles et compréhensibles sur le projet, ses activités d’assistance technique, ses risques et impacts potentiels en aval, les alternatives à l’étude et les mesures de gestion envisagées.</w:t>
      </w:r>
    </w:p>
    <w:p w14:paraId="2295A281" w14:textId="7D943905" w:rsidR="0083496A" w:rsidRPr="00A46376" w:rsidRDefault="7966674F" w:rsidP="00A46376">
      <w:pPr>
        <w:numPr>
          <w:ilvl w:val="0"/>
          <w:numId w:val="3"/>
        </w:numPr>
        <w:spacing w:line="276" w:lineRule="auto"/>
        <w:jc w:val="both"/>
        <w:rPr>
          <w:rFonts w:asciiTheme="majorBidi" w:hAnsiTheme="majorBidi" w:cstheme="majorBidi"/>
          <w:sz w:val="24"/>
          <w:szCs w:val="24"/>
        </w:rPr>
      </w:pPr>
      <w:r w:rsidRPr="00A46376">
        <w:rPr>
          <w:rFonts w:asciiTheme="majorBidi" w:eastAsia="Aptos" w:hAnsiTheme="majorBidi" w:cstheme="majorBidi"/>
          <w:sz w:val="24"/>
          <w:szCs w:val="24"/>
          <w:lang w:val="fr"/>
        </w:rPr>
        <w:t>Assurer la participation effective des communautés potentiellement touchées, notamment le long des corridors envisagés, ainsi que des femmes, jeunes, pêcheurs, éleveurs, usagers des terres, personnes handicapées et autres groupes défavorisés ou vulnérables</w:t>
      </w:r>
      <w:r w:rsidR="0083496A" w:rsidRPr="00A46376">
        <w:rPr>
          <w:rFonts w:asciiTheme="majorBidi" w:hAnsiTheme="majorBidi" w:cstheme="majorBidi"/>
          <w:sz w:val="24"/>
          <w:szCs w:val="24"/>
        </w:rPr>
        <w:t>.</w:t>
      </w:r>
    </w:p>
    <w:p w14:paraId="38EB4846" w14:textId="77777777" w:rsidR="0083496A" w:rsidRPr="00A46376" w:rsidRDefault="0083496A" w:rsidP="00A46376">
      <w:pPr>
        <w:numPr>
          <w:ilvl w:val="0"/>
          <w:numId w:val="3"/>
        </w:numPr>
        <w:spacing w:line="276" w:lineRule="auto"/>
        <w:jc w:val="both"/>
        <w:rPr>
          <w:rFonts w:asciiTheme="majorBidi" w:hAnsiTheme="majorBidi" w:cstheme="majorBidi"/>
          <w:sz w:val="24"/>
          <w:szCs w:val="24"/>
        </w:rPr>
      </w:pPr>
      <w:r w:rsidRPr="00A46376">
        <w:rPr>
          <w:rFonts w:asciiTheme="majorBidi" w:hAnsiTheme="majorBidi" w:cstheme="majorBidi"/>
          <w:sz w:val="24"/>
          <w:szCs w:val="24"/>
        </w:rPr>
        <w:t>Mettre en place un mécanisme de retour d'information pour prendre en compte les préoccupations liées aux futures phases d'investissement (notamment les infrastructures relevant de la compétence du MEP telles que le développement de la distribution de gaz et le projet de gazoduc GTA-Ndiago).</w:t>
      </w:r>
    </w:p>
    <w:p w14:paraId="25C6463C" w14:textId="4B9C1633" w:rsidR="0DEB8E04" w:rsidRPr="00A46376" w:rsidRDefault="0DEB8E04" w:rsidP="00A46376">
      <w:pPr>
        <w:numPr>
          <w:ilvl w:val="0"/>
          <w:numId w:val="3"/>
        </w:numPr>
        <w:spacing w:line="276" w:lineRule="auto"/>
        <w:jc w:val="both"/>
        <w:rPr>
          <w:rFonts w:asciiTheme="majorBidi" w:eastAsia="Aptos" w:hAnsiTheme="majorBidi" w:cstheme="majorBidi"/>
          <w:sz w:val="24"/>
          <w:szCs w:val="24"/>
          <w:lang w:val="fr"/>
        </w:rPr>
      </w:pPr>
      <w:r w:rsidRPr="00A46376">
        <w:rPr>
          <w:rFonts w:asciiTheme="majorBidi" w:eastAsia="Aptos" w:hAnsiTheme="majorBidi" w:cstheme="majorBidi"/>
          <w:sz w:val="24"/>
          <w:szCs w:val="24"/>
          <w:lang w:val="fr"/>
        </w:rPr>
        <w:t>Rendre compte régulièrement aux parties prenantes des résultats des consultations, des décisions prises et de la manière dont leurs contributions ont été considérées.</w:t>
      </w:r>
    </w:p>
    <w:p w14:paraId="35407022" w14:textId="2A9EFF79" w:rsidR="0083496A" w:rsidRPr="00A46376" w:rsidRDefault="0083496A" w:rsidP="00A46376">
      <w:pPr>
        <w:pStyle w:val="Title"/>
        <w:widowControl w:val="0"/>
        <w:numPr>
          <w:ilvl w:val="0"/>
          <w:numId w:val="35"/>
        </w:numPr>
        <w:autoSpaceDE w:val="0"/>
        <w:autoSpaceDN w:val="0"/>
        <w:spacing w:after="0" w:line="276" w:lineRule="auto"/>
        <w:ind w:right="455"/>
        <w:contextualSpacing w:val="0"/>
        <w:rPr>
          <w:rFonts w:asciiTheme="majorBidi" w:eastAsiaTheme="minorHAnsi" w:hAnsiTheme="majorBidi"/>
          <w:b/>
          <w:bCs/>
          <w:kern w:val="2"/>
          <w:sz w:val="28"/>
          <w:szCs w:val="28"/>
        </w:rPr>
      </w:pPr>
      <w:bookmarkStart w:id="7" w:name="_Toc241155389"/>
      <w:r w:rsidRPr="00A46376">
        <w:rPr>
          <w:rFonts w:asciiTheme="majorBidi" w:eastAsiaTheme="minorHAnsi" w:hAnsiTheme="majorBidi"/>
          <w:b/>
          <w:bCs/>
          <w:kern w:val="2"/>
          <w:sz w:val="28"/>
          <w:szCs w:val="28"/>
        </w:rPr>
        <w:t>Analyse et Identification des Parties Prenantes</w:t>
      </w:r>
      <w:bookmarkEnd w:id="7"/>
    </w:p>
    <w:p w14:paraId="041AA5DE" w14:textId="77777777" w:rsidR="0083496A" w:rsidRPr="00A46376" w:rsidRDefault="0083496A" w:rsidP="00A46376">
      <w:pPr>
        <w:spacing w:before="240" w:line="276" w:lineRule="auto"/>
        <w:jc w:val="both"/>
        <w:rPr>
          <w:rFonts w:asciiTheme="majorBidi" w:hAnsiTheme="majorBidi" w:cstheme="majorBidi"/>
          <w:sz w:val="24"/>
          <w:szCs w:val="24"/>
        </w:rPr>
      </w:pPr>
      <w:r w:rsidRPr="00A46376">
        <w:rPr>
          <w:rFonts w:asciiTheme="majorBidi" w:hAnsiTheme="majorBidi" w:cstheme="majorBidi"/>
          <w:sz w:val="24"/>
          <w:szCs w:val="24"/>
        </w:rPr>
        <w:t>L'identification des parties prenantes constitue une phase essentielle dans l'élaboration et l'exécution d'un projet. Cette détermination s'est fondée sur les actions prévues, les périmètres d'influence et les résultats du Projet. Sa mission principale consiste à identifier les entités, les individus et les communautés qui pourraient être concernés, soit directement ou indirectement (de manière bénéfique ou préjudiciable), ou qui pourraient avoir un intérêt dans le projet. Ce processus d'identification se déroulera tout au long de la mise en œuvre et de l'exploitation du projet, permettant ainsi une actualisation régulière de la liste des parties prenantes.</w:t>
      </w:r>
    </w:p>
    <w:p w14:paraId="0D59DD24" w14:textId="15DF4BAF" w:rsidR="0083496A" w:rsidRPr="00A46376" w:rsidRDefault="0083496A" w:rsidP="00A46376">
      <w:pPr>
        <w:spacing w:line="276" w:lineRule="auto"/>
        <w:jc w:val="both"/>
        <w:rPr>
          <w:rFonts w:asciiTheme="majorBidi" w:hAnsiTheme="majorBidi" w:cstheme="majorBidi"/>
          <w:sz w:val="24"/>
          <w:szCs w:val="24"/>
        </w:rPr>
      </w:pPr>
      <w:r w:rsidRPr="00A46376">
        <w:rPr>
          <w:rFonts w:asciiTheme="majorBidi" w:hAnsiTheme="majorBidi" w:cstheme="majorBidi"/>
          <w:sz w:val="24"/>
          <w:szCs w:val="24"/>
        </w:rPr>
        <w:t xml:space="preserve">L'identification des parties prenantes a été réalisée en considérant leurs intérêts concernant le Projet, leurs préoccupations, la nécessité d'information et d'implication, leur état de vulnérabilité et leurs attentes, </w:t>
      </w:r>
      <w:r w:rsidR="00A46376" w:rsidRPr="00A46376">
        <w:rPr>
          <w:rFonts w:asciiTheme="majorBidi" w:hAnsiTheme="majorBidi" w:cstheme="majorBidi"/>
          <w:sz w:val="24"/>
          <w:szCs w:val="24"/>
        </w:rPr>
        <w:t>de manière</w:t>
      </w:r>
      <w:r w:rsidRPr="00A46376">
        <w:rPr>
          <w:rFonts w:asciiTheme="majorBidi" w:hAnsiTheme="majorBidi" w:cstheme="majorBidi"/>
          <w:sz w:val="24"/>
          <w:szCs w:val="24"/>
        </w:rPr>
        <w:t xml:space="preserve"> que le plan de mobilisation soit ajusté aux enjeux, à l'envergure du Projet et aux risques et impacts indésirables potentiels. </w:t>
      </w:r>
      <w:r w:rsidRPr="00A46376">
        <w:rPr>
          <w:rFonts w:asciiTheme="majorBidi" w:hAnsiTheme="majorBidi" w:cstheme="majorBidi"/>
          <w:sz w:val="24"/>
          <w:szCs w:val="24"/>
        </w:rPr>
        <w:br/>
        <w:t>Cette approche favorise l'identification des individus et des groupes qui risquent de faire face à plus de complications en matière de participation, ainsi que ceux qui pourraient être touchés de façon inégale ou disproportionnée par le Projet, en raison de leur statut marginal, défavorisé ou vulnérable. En somme, l'enjeu consiste à comprendre et analyser comment chaque catégorie de parties prenantes concernées pourrait avoir un impact, ou être susceptible d'en avoir un, ou encore comment elle estime pouvoir avoir un impact.</w:t>
      </w:r>
    </w:p>
    <w:p w14:paraId="4B8556FD" w14:textId="77777777" w:rsidR="0083496A" w:rsidRPr="00A46376" w:rsidRDefault="0083496A" w:rsidP="00A46376">
      <w:pPr>
        <w:spacing w:line="276" w:lineRule="auto"/>
        <w:jc w:val="both"/>
        <w:rPr>
          <w:rFonts w:asciiTheme="majorBidi" w:hAnsiTheme="majorBidi" w:cstheme="majorBidi"/>
          <w:sz w:val="24"/>
          <w:szCs w:val="24"/>
        </w:rPr>
      </w:pPr>
    </w:p>
    <w:p w14:paraId="5567087E" w14:textId="67845629" w:rsidR="0083496A" w:rsidRPr="00A46376" w:rsidRDefault="0083496A" w:rsidP="00A46376">
      <w:pPr>
        <w:pStyle w:val="Heading1"/>
        <w:numPr>
          <w:ilvl w:val="1"/>
          <w:numId w:val="35"/>
        </w:numPr>
        <w:spacing w:line="276" w:lineRule="auto"/>
        <w:ind w:left="810" w:hanging="540"/>
        <w:jc w:val="both"/>
        <w:rPr>
          <w:rFonts w:asciiTheme="majorBidi" w:eastAsiaTheme="minorHAnsi" w:hAnsiTheme="majorBidi"/>
          <w:b/>
          <w:bCs/>
          <w:color w:val="auto"/>
          <w:sz w:val="24"/>
          <w:szCs w:val="24"/>
        </w:rPr>
      </w:pPr>
      <w:bookmarkStart w:id="8" w:name="_Toc241155390"/>
      <w:r w:rsidRPr="00A46376">
        <w:rPr>
          <w:rFonts w:asciiTheme="majorBidi" w:eastAsiaTheme="minorHAnsi" w:hAnsiTheme="majorBidi"/>
          <w:b/>
          <w:bCs/>
          <w:color w:val="auto"/>
          <w:sz w:val="24"/>
          <w:szCs w:val="24"/>
        </w:rPr>
        <w:lastRenderedPageBreak/>
        <w:t>Méthodologie</w:t>
      </w:r>
      <w:bookmarkEnd w:id="8"/>
    </w:p>
    <w:p w14:paraId="6CBDA8C8" w14:textId="77777777" w:rsidR="0083496A" w:rsidRPr="00A46376" w:rsidRDefault="0083496A" w:rsidP="00A46376">
      <w:pPr>
        <w:spacing w:after="240" w:line="276" w:lineRule="auto"/>
        <w:jc w:val="both"/>
        <w:rPr>
          <w:rFonts w:asciiTheme="majorBidi" w:hAnsiTheme="majorBidi" w:cstheme="majorBidi"/>
          <w:sz w:val="24"/>
          <w:szCs w:val="24"/>
        </w:rPr>
      </w:pPr>
      <w:r w:rsidRPr="00A46376">
        <w:rPr>
          <w:rFonts w:asciiTheme="majorBidi" w:hAnsiTheme="majorBidi" w:cstheme="majorBidi"/>
          <w:sz w:val="24"/>
          <w:szCs w:val="24"/>
        </w:rPr>
        <w:t xml:space="preserve">L’identification des parties prenantes repose sur l’analyse des axes du projet, des institutions bénéficiaires, des zones potentiellement concernées par les activités de suivi environnemental et de concertation, ainsi que des groupes susceptibles d’être affectés directement ou indirectement par les décisions, études, instruments, formations, équipements ou réformes appuyés par le projet. </w:t>
      </w:r>
    </w:p>
    <w:p w14:paraId="7E0F5CD9" w14:textId="28F4BABE" w:rsidR="7DBBA229" w:rsidRPr="00A46376" w:rsidRDefault="7DBBA229" w:rsidP="00A46376">
      <w:pPr>
        <w:spacing w:after="240" w:line="276" w:lineRule="auto"/>
        <w:jc w:val="both"/>
        <w:rPr>
          <w:rFonts w:asciiTheme="majorBidi" w:eastAsia="Aptos" w:hAnsiTheme="majorBidi" w:cstheme="majorBidi"/>
          <w:sz w:val="24"/>
          <w:szCs w:val="24"/>
        </w:rPr>
      </w:pPr>
      <w:r w:rsidRPr="00A46376">
        <w:rPr>
          <w:rFonts w:asciiTheme="majorBidi" w:eastAsia="Aptos" w:hAnsiTheme="majorBidi" w:cstheme="majorBidi"/>
          <w:sz w:val="24"/>
          <w:szCs w:val="24"/>
          <w:lang w:val="fr"/>
        </w:rPr>
        <w:t>Pour chaque groupe seront appréciés la nature des effets potentiels, le niveau d’intérêt et d’influence, les besoins d’information, la langue, les canaux préférés, les contraintes de participation et les mesures d’accompagnement. La cartographie sera désagrégée par zone et par activité, validée lors des consultations initiales et actualisée au moins semestriellement ainsi qu’à chaque modification importante du projet ou des options techniques.</w:t>
      </w:r>
    </w:p>
    <w:p w14:paraId="4300E6C9" w14:textId="38EEE7AB" w:rsidR="0083496A" w:rsidRPr="00A46376" w:rsidRDefault="0083496A" w:rsidP="00A46376">
      <w:pPr>
        <w:pStyle w:val="Heading1"/>
        <w:numPr>
          <w:ilvl w:val="1"/>
          <w:numId w:val="35"/>
        </w:numPr>
        <w:spacing w:line="276" w:lineRule="auto"/>
        <w:ind w:left="810" w:hanging="540"/>
        <w:jc w:val="both"/>
        <w:rPr>
          <w:rFonts w:asciiTheme="majorBidi" w:eastAsiaTheme="minorHAnsi" w:hAnsiTheme="majorBidi"/>
          <w:b/>
          <w:bCs/>
          <w:color w:val="auto"/>
          <w:sz w:val="24"/>
          <w:szCs w:val="24"/>
        </w:rPr>
      </w:pPr>
      <w:bookmarkStart w:id="9" w:name="_Toc241155391"/>
      <w:r w:rsidRPr="00A46376">
        <w:rPr>
          <w:rFonts w:asciiTheme="majorBidi" w:eastAsiaTheme="minorHAnsi" w:hAnsiTheme="majorBidi"/>
          <w:b/>
          <w:bCs/>
          <w:color w:val="auto"/>
          <w:sz w:val="24"/>
          <w:szCs w:val="24"/>
        </w:rPr>
        <w:t>Parties touchées</w:t>
      </w:r>
      <w:bookmarkEnd w:id="9"/>
    </w:p>
    <w:p w14:paraId="14A276AD" w14:textId="77777777" w:rsidR="0083496A" w:rsidRPr="00A46376" w:rsidRDefault="0083496A" w:rsidP="00A46376">
      <w:pPr>
        <w:spacing w:after="231" w:line="276" w:lineRule="auto"/>
        <w:ind w:right="49"/>
        <w:jc w:val="both"/>
        <w:rPr>
          <w:rFonts w:asciiTheme="majorBidi" w:hAnsiTheme="majorBidi" w:cstheme="majorBidi"/>
          <w:sz w:val="24"/>
          <w:szCs w:val="24"/>
        </w:rPr>
      </w:pPr>
      <w:r w:rsidRPr="00A46376">
        <w:rPr>
          <w:rFonts w:asciiTheme="majorBidi" w:hAnsiTheme="majorBidi" w:cstheme="majorBidi"/>
          <w:sz w:val="24"/>
          <w:szCs w:val="24"/>
        </w:rPr>
        <w:t>Les parties touchées comprennent les communautés locales, les membres desdites communautés et d’autres parties qui pourraient subir les effets directs du projet. Plus précisément, cette catégorie renferme les individus et groupes suivants :</w:t>
      </w:r>
    </w:p>
    <w:p w14:paraId="37AF9387" w14:textId="77777777" w:rsidR="0083496A" w:rsidRPr="00A46376" w:rsidRDefault="0083496A" w:rsidP="00A46376">
      <w:pPr>
        <w:pStyle w:val="ListParagraph"/>
        <w:numPr>
          <w:ilvl w:val="0"/>
          <w:numId w:val="33"/>
        </w:numPr>
        <w:spacing w:after="0" w:line="276" w:lineRule="auto"/>
        <w:ind w:right="49"/>
        <w:jc w:val="both"/>
        <w:rPr>
          <w:rFonts w:asciiTheme="majorBidi" w:hAnsiTheme="majorBidi" w:cstheme="majorBidi"/>
          <w:sz w:val="24"/>
          <w:szCs w:val="24"/>
        </w:rPr>
      </w:pPr>
      <w:r w:rsidRPr="00A46376">
        <w:rPr>
          <w:rFonts w:asciiTheme="majorBidi" w:hAnsiTheme="majorBidi" w:cstheme="majorBidi"/>
          <w:sz w:val="24"/>
          <w:szCs w:val="24"/>
        </w:rPr>
        <w:t xml:space="preserve">Les communautés locales situées à proximité des infrastructures gazières et électriques envisagées (notamment le long du tracé du gazoduc GTA-Ndiago) ; </w:t>
      </w:r>
    </w:p>
    <w:p w14:paraId="65BB8339" w14:textId="77777777" w:rsidR="0083496A" w:rsidRPr="00A46376" w:rsidRDefault="0083496A" w:rsidP="00A46376">
      <w:pPr>
        <w:pStyle w:val="ListParagraph"/>
        <w:numPr>
          <w:ilvl w:val="0"/>
          <w:numId w:val="33"/>
        </w:numPr>
        <w:spacing w:after="0" w:line="276" w:lineRule="auto"/>
        <w:ind w:right="49"/>
        <w:jc w:val="both"/>
        <w:rPr>
          <w:rFonts w:asciiTheme="majorBidi" w:hAnsiTheme="majorBidi" w:cstheme="majorBidi"/>
          <w:sz w:val="24"/>
          <w:szCs w:val="24"/>
        </w:rPr>
      </w:pPr>
      <w:r w:rsidRPr="00A46376">
        <w:rPr>
          <w:rFonts w:asciiTheme="majorBidi" w:hAnsiTheme="majorBidi" w:cstheme="majorBidi"/>
          <w:sz w:val="24"/>
          <w:szCs w:val="24"/>
        </w:rPr>
        <w:t xml:space="preserve">Les pêcheurs artisanaux, mareyeurs et autres acteurs dépendant des ressources halieutiques ; </w:t>
      </w:r>
    </w:p>
    <w:p w14:paraId="65A61219" w14:textId="77777777" w:rsidR="0083496A" w:rsidRPr="00A46376" w:rsidRDefault="0083496A" w:rsidP="00A46376">
      <w:pPr>
        <w:pStyle w:val="ListParagraph"/>
        <w:numPr>
          <w:ilvl w:val="0"/>
          <w:numId w:val="33"/>
        </w:numPr>
        <w:spacing w:after="0" w:line="276" w:lineRule="auto"/>
        <w:ind w:right="49"/>
        <w:jc w:val="both"/>
        <w:rPr>
          <w:rFonts w:asciiTheme="majorBidi" w:hAnsiTheme="majorBidi" w:cstheme="majorBidi"/>
          <w:sz w:val="24"/>
          <w:szCs w:val="24"/>
        </w:rPr>
      </w:pPr>
      <w:r w:rsidRPr="00A46376">
        <w:rPr>
          <w:rFonts w:asciiTheme="majorBidi" w:hAnsiTheme="majorBidi" w:cstheme="majorBidi"/>
          <w:sz w:val="24"/>
          <w:szCs w:val="24"/>
        </w:rPr>
        <w:t xml:space="preserve">Les propriétaires et usagers des terres potentiellement traversées par les infrastructures ; </w:t>
      </w:r>
    </w:p>
    <w:p w14:paraId="2F11349B" w14:textId="77777777" w:rsidR="0083496A" w:rsidRPr="00A46376" w:rsidRDefault="0083496A" w:rsidP="00A46376">
      <w:pPr>
        <w:pStyle w:val="ListParagraph"/>
        <w:numPr>
          <w:ilvl w:val="0"/>
          <w:numId w:val="33"/>
        </w:numPr>
        <w:spacing w:after="0" w:line="276" w:lineRule="auto"/>
        <w:ind w:right="49"/>
        <w:jc w:val="both"/>
        <w:rPr>
          <w:rFonts w:asciiTheme="majorBidi" w:hAnsiTheme="majorBidi" w:cstheme="majorBidi"/>
          <w:sz w:val="24"/>
          <w:szCs w:val="24"/>
        </w:rPr>
      </w:pPr>
      <w:r w:rsidRPr="00A46376">
        <w:rPr>
          <w:rFonts w:asciiTheme="majorBidi" w:hAnsiTheme="majorBidi" w:cstheme="majorBidi"/>
          <w:sz w:val="24"/>
          <w:szCs w:val="24"/>
        </w:rPr>
        <w:t>Les éleveurs, pasteurs et autres groupes dont les moyens de subsistance pourraient être affectés par les futures emprises ;</w:t>
      </w:r>
    </w:p>
    <w:p w14:paraId="421BEAE3" w14:textId="77777777" w:rsidR="0083496A" w:rsidRPr="00A46376" w:rsidRDefault="0083496A" w:rsidP="00A46376">
      <w:pPr>
        <w:pStyle w:val="ListParagraph"/>
        <w:numPr>
          <w:ilvl w:val="0"/>
          <w:numId w:val="33"/>
        </w:numPr>
        <w:spacing w:after="0" w:line="276" w:lineRule="auto"/>
        <w:ind w:right="49"/>
        <w:jc w:val="both"/>
        <w:rPr>
          <w:rFonts w:asciiTheme="majorBidi" w:hAnsiTheme="majorBidi" w:cstheme="majorBidi"/>
          <w:sz w:val="24"/>
          <w:szCs w:val="24"/>
        </w:rPr>
      </w:pPr>
      <w:r w:rsidRPr="00A46376">
        <w:rPr>
          <w:rFonts w:asciiTheme="majorBidi" w:hAnsiTheme="majorBidi" w:cstheme="majorBidi"/>
          <w:sz w:val="24"/>
          <w:szCs w:val="24"/>
        </w:rPr>
        <w:t>Les collectivités territoriales concernées par les zones d'implantation futures ;</w:t>
      </w:r>
    </w:p>
    <w:p w14:paraId="440ED25E" w14:textId="77777777" w:rsidR="0083496A" w:rsidRPr="00A46376" w:rsidRDefault="0083496A" w:rsidP="00A46376">
      <w:pPr>
        <w:pStyle w:val="ListParagraph"/>
        <w:numPr>
          <w:ilvl w:val="0"/>
          <w:numId w:val="33"/>
        </w:numPr>
        <w:spacing w:after="231" w:line="276" w:lineRule="auto"/>
        <w:ind w:right="49"/>
        <w:jc w:val="both"/>
        <w:rPr>
          <w:rFonts w:asciiTheme="majorBidi" w:hAnsiTheme="majorBidi" w:cstheme="majorBidi"/>
          <w:sz w:val="24"/>
          <w:szCs w:val="24"/>
        </w:rPr>
      </w:pPr>
      <w:r w:rsidRPr="00A46376">
        <w:rPr>
          <w:rFonts w:asciiTheme="majorBidi" w:hAnsiTheme="majorBidi" w:cstheme="majorBidi"/>
          <w:sz w:val="24"/>
          <w:szCs w:val="24"/>
        </w:rPr>
        <w:t>Les agents des administrations et entités bénéficiaires du projet (personnel du MEP, de la SOMELEC, de la SMH, etc.).</w:t>
      </w:r>
    </w:p>
    <w:p w14:paraId="07A93A11" w14:textId="6602FA77" w:rsidR="0083496A" w:rsidRPr="00A46376" w:rsidRDefault="0083496A" w:rsidP="00A46376">
      <w:pPr>
        <w:pStyle w:val="Heading1"/>
        <w:numPr>
          <w:ilvl w:val="1"/>
          <w:numId w:val="35"/>
        </w:numPr>
        <w:spacing w:line="276" w:lineRule="auto"/>
        <w:ind w:left="810" w:hanging="540"/>
        <w:jc w:val="both"/>
        <w:rPr>
          <w:rFonts w:asciiTheme="majorBidi" w:eastAsiaTheme="minorHAnsi" w:hAnsiTheme="majorBidi"/>
          <w:b/>
          <w:bCs/>
          <w:color w:val="auto"/>
          <w:sz w:val="24"/>
          <w:szCs w:val="24"/>
        </w:rPr>
      </w:pPr>
      <w:bookmarkStart w:id="10" w:name="_Toc241155392"/>
      <w:r w:rsidRPr="00A46376">
        <w:rPr>
          <w:rFonts w:asciiTheme="majorBidi" w:eastAsiaTheme="minorHAnsi" w:hAnsiTheme="majorBidi"/>
          <w:b/>
          <w:bCs/>
          <w:color w:val="auto"/>
          <w:sz w:val="24"/>
          <w:szCs w:val="24"/>
        </w:rPr>
        <w:t>Autres parties concernées</w:t>
      </w:r>
      <w:bookmarkEnd w:id="10"/>
    </w:p>
    <w:p w14:paraId="02255075" w14:textId="77777777" w:rsidR="0083496A" w:rsidRPr="00A46376" w:rsidRDefault="0083496A" w:rsidP="00A46376">
      <w:pPr>
        <w:spacing w:after="0" w:line="276" w:lineRule="auto"/>
        <w:jc w:val="both"/>
        <w:rPr>
          <w:rFonts w:asciiTheme="majorBidi" w:hAnsiTheme="majorBidi" w:cstheme="majorBidi"/>
          <w:sz w:val="24"/>
          <w:szCs w:val="24"/>
        </w:rPr>
      </w:pPr>
      <w:r w:rsidRPr="00A46376">
        <w:rPr>
          <w:rFonts w:asciiTheme="majorBidi" w:hAnsiTheme="majorBidi" w:cstheme="majorBidi"/>
          <w:sz w:val="24"/>
          <w:szCs w:val="24"/>
        </w:rPr>
        <w:t xml:space="preserve">Les parties prenantes du projet désignent aussi des individus, groupes ou entités qui ne sont pas directement touchés par le projet, notamment : </w:t>
      </w:r>
    </w:p>
    <w:p w14:paraId="6C8C4768" w14:textId="13169A9A" w:rsidR="0083496A" w:rsidRDefault="0083496A" w:rsidP="00A46376">
      <w:pPr>
        <w:pStyle w:val="ListParagraph"/>
        <w:numPr>
          <w:ilvl w:val="0"/>
          <w:numId w:val="34"/>
        </w:numPr>
        <w:spacing w:after="0" w:line="276" w:lineRule="auto"/>
        <w:jc w:val="both"/>
        <w:rPr>
          <w:rFonts w:asciiTheme="majorBidi" w:hAnsiTheme="majorBidi" w:cstheme="majorBidi"/>
          <w:sz w:val="24"/>
          <w:szCs w:val="24"/>
        </w:rPr>
      </w:pPr>
      <w:r w:rsidRPr="009C714C">
        <w:rPr>
          <w:rFonts w:asciiTheme="majorBidi" w:hAnsiTheme="majorBidi" w:cstheme="majorBidi"/>
          <w:sz w:val="24"/>
          <w:szCs w:val="24"/>
          <w:u w:val="single"/>
        </w:rPr>
        <w:t>Institutions Gouvernementales</w:t>
      </w:r>
      <w:r w:rsidRPr="00A46376">
        <w:rPr>
          <w:rFonts w:asciiTheme="majorBidi" w:hAnsiTheme="majorBidi" w:cstheme="majorBidi"/>
          <w:sz w:val="24"/>
          <w:szCs w:val="24"/>
        </w:rPr>
        <w:t xml:space="preserve"> : Ministère de l'Énergie et du Pétrole (MEP), Ministère </w:t>
      </w:r>
      <w:r w:rsidR="009C714C">
        <w:rPr>
          <w:rFonts w:asciiTheme="majorBidi" w:hAnsiTheme="majorBidi" w:cstheme="majorBidi"/>
          <w:sz w:val="24"/>
          <w:szCs w:val="24"/>
        </w:rPr>
        <w:t>des Affaires Economiques et du Développement (MAED)</w:t>
      </w:r>
      <w:r w:rsidRPr="00A46376">
        <w:rPr>
          <w:rFonts w:asciiTheme="majorBidi" w:hAnsiTheme="majorBidi" w:cstheme="majorBidi"/>
          <w:sz w:val="24"/>
          <w:szCs w:val="24"/>
        </w:rPr>
        <w:t xml:space="preserve">, Ministère des Finances, Ministère de l'Environnement </w:t>
      </w:r>
      <w:r w:rsidR="009C714C">
        <w:rPr>
          <w:rFonts w:asciiTheme="majorBidi" w:hAnsiTheme="majorBidi" w:cstheme="majorBidi"/>
          <w:sz w:val="24"/>
          <w:szCs w:val="24"/>
        </w:rPr>
        <w:t xml:space="preserve">et du Développement Durable </w:t>
      </w:r>
      <w:r w:rsidRPr="00A46376">
        <w:rPr>
          <w:rFonts w:asciiTheme="majorBidi" w:hAnsiTheme="majorBidi" w:cstheme="majorBidi"/>
          <w:sz w:val="24"/>
          <w:szCs w:val="24"/>
        </w:rPr>
        <w:t>(Direction en charge des Évaluations E&amp;S et du suivi externe), Société Mauritanienne des Hydrocarbures</w:t>
      </w:r>
      <w:r w:rsidR="009C714C">
        <w:rPr>
          <w:rFonts w:asciiTheme="majorBidi" w:hAnsiTheme="majorBidi" w:cstheme="majorBidi"/>
          <w:sz w:val="24"/>
          <w:szCs w:val="24"/>
        </w:rPr>
        <w:t xml:space="preserve"> (</w:t>
      </w:r>
      <w:r w:rsidR="009C714C" w:rsidRPr="00A46376">
        <w:rPr>
          <w:rFonts w:asciiTheme="majorBidi" w:hAnsiTheme="majorBidi" w:cstheme="majorBidi"/>
          <w:sz w:val="24"/>
          <w:szCs w:val="24"/>
        </w:rPr>
        <w:t>SMH</w:t>
      </w:r>
      <w:r w:rsidRPr="00A46376">
        <w:rPr>
          <w:rFonts w:asciiTheme="majorBidi" w:hAnsiTheme="majorBidi" w:cstheme="majorBidi"/>
          <w:sz w:val="24"/>
          <w:szCs w:val="24"/>
        </w:rPr>
        <w:t>)</w:t>
      </w:r>
      <w:r w:rsidR="009C714C">
        <w:rPr>
          <w:rFonts w:asciiTheme="majorBidi" w:hAnsiTheme="majorBidi" w:cstheme="majorBidi"/>
          <w:sz w:val="24"/>
          <w:szCs w:val="24"/>
        </w:rPr>
        <w:t>,</w:t>
      </w:r>
      <w:r w:rsidRPr="00A46376">
        <w:rPr>
          <w:rFonts w:asciiTheme="majorBidi" w:hAnsiTheme="majorBidi" w:cstheme="majorBidi"/>
          <w:sz w:val="24"/>
          <w:szCs w:val="24"/>
        </w:rPr>
        <w:t xml:space="preserve"> et </w:t>
      </w:r>
      <w:r w:rsidR="620E96B7" w:rsidRPr="00A46376">
        <w:rPr>
          <w:rFonts w:asciiTheme="majorBidi" w:hAnsiTheme="majorBidi" w:cstheme="majorBidi"/>
          <w:sz w:val="24"/>
          <w:szCs w:val="24"/>
        </w:rPr>
        <w:t>l’Autorité de Régulation (</w:t>
      </w:r>
      <w:r w:rsidRPr="00A46376">
        <w:rPr>
          <w:rFonts w:asciiTheme="majorBidi" w:hAnsiTheme="majorBidi" w:cstheme="majorBidi"/>
          <w:sz w:val="24"/>
          <w:szCs w:val="24"/>
        </w:rPr>
        <w:t>ARE</w:t>
      </w:r>
      <w:r w:rsidR="0BEC77F3" w:rsidRPr="00A46376">
        <w:rPr>
          <w:rFonts w:asciiTheme="majorBidi" w:hAnsiTheme="majorBidi" w:cstheme="majorBidi"/>
          <w:sz w:val="24"/>
          <w:szCs w:val="24"/>
        </w:rPr>
        <w:t>)</w:t>
      </w:r>
      <w:r w:rsidRPr="00A46376">
        <w:rPr>
          <w:rFonts w:asciiTheme="majorBidi" w:hAnsiTheme="majorBidi" w:cstheme="majorBidi"/>
          <w:sz w:val="24"/>
          <w:szCs w:val="24"/>
        </w:rPr>
        <w:t>. (Niveau d'influence : Très Élevé - Bénéficiaires directs et décideurs sur les cadres légaux et la structuration des projets).</w:t>
      </w:r>
    </w:p>
    <w:p w14:paraId="59259542" w14:textId="77777777" w:rsidR="009C714C" w:rsidRPr="00A46376" w:rsidRDefault="009C714C" w:rsidP="009C714C">
      <w:pPr>
        <w:pStyle w:val="ListParagraph"/>
        <w:spacing w:after="0" w:line="276" w:lineRule="auto"/>
        <w:jc w:val="both"/>
        <w:rPr>
          <w:rFonts w:asciiTheme="majorBidi" w:hAnsiTheme="majorBidi" w:cstheme="majorBidi"/>
          <w:sz w:val="24"/>
          <w:szCs w:val="24"/>
        </w:rPr>
      </w:pPr>
    </w:p>
    <w:p w14:paraId="5C9C55BF" w14:textId="77777777" w:rsidR="0083496A" w:rsidRPr="00A46376" w:rsidRDefault="0083496A" w:rsidP="00A46376">
      <w:pPr>
        <w:pStyle w:val="ListParagraph"/>
        <w:numPr>
          <w:ilvl w:val="0"/>
          <w:numId w:val="34"/>
        </w:numPr>
        <w:spacing w:after="0" w:line="276" w:lineRule="auto"/>
        <w:jc w:val="both"/>
        <w:rPr>
          <w:rFonts w:asciiTheme="majorBidi" w:hAnsiTheme="majorBidi" w:cstheme="majorBidi"/>
          <w:sz w:val="24"/>
          <w:szCs w:val="24"/>
        </w:rPr>
      </w:pPr>
      <w:r w:rsidRPr="009C714C">
        <w:rPr>
          <w:rFonts w:asciiTheme="majorBidi" w:hAnsiTheme="majorBidi" w:cstheme="majorBidi"/>
          <w:sz w:val="24"/>
          <w:szCs w:val="24"/>
          <w:u w:val="single"/>
        </w:rPr>
        <w:t>Autorités Administratives et Locales</w:t>
      </w:r>
      <w:r w:rsidRPr="00A46376">
        <w:rPr>
          <w:rFonts w:asciiTheme="majorBidi" w:hAnsiTheme="majorBidi" w:cstheme="majorBidi"/>
          <w:sz w:val="24"/>
          <w:szCs w:val="24"/>
        </w:rPr>
        <w:t xml:space="preserve"> : Walis, Hakems, Maires, et conseils régionaux/municipaux des zones concernées par les futures infrastructures (ex: tracé du gazoduc GTA-Ndiago). (Niveau d'influence : Élevé - Facilitateurs locaux essentiels </w:t>
      </w:r>
      <w:r w:rsidRPr="00A46376">
        <w:rPr>
          <w:rFonts w:asciiTheme="majorBidi" w:hAnsiTheme="majorBidi" w:cstheme="majorBidi"/>
          <w:sz w:val="24"/>
          <w:szCs w:val="24"/>
        </w:rPr>
        <w:lastRenderedPageBreak/>
        <w:t>pour l'accès au terrain, la mobilisation communautaire, la gestion foncière et la cohésion sociale).</w:t>
      </w:r>
    </w:p>
    <w:p w14:paraId="74925F9E" w14:textId="77777777" w:rsidR="0083496A" w:rsidRPr="00A46376" w:rsidRDefault="0083496A" w:rsidP="00A46376">
      <w:pPr>
        <w:pStyle w:val="ListParagraph"/>
        <w:numPr>
          <w:ilvl w:val="0"/>
          <w:numId w:val="34"/>
        </w:numPr>
        <w:spacing w:after="0" w:line="276" w:lineRule="auto"/>
        <w:jc w:val="both"/>
        <w:rPr>
          <w:rFonts w:asciiTheme="majorBidi" w:hAnsiTheme="majorBidi" w:cstheme="majorBidi"/>
          <w:sz w:val="24"/>
          <w:szCs w:val="24"/>
        </w:rPr>
      </w:pPr>
      <w:r w:rsidRPr="009C714C">
        <w:rPr>
          <w:rFonts w:asciiTheme="majorBidi" w:hAnsiTheme="majorBidi" w:cstheme="majorBidi"/>
          <w:sz w:val="24"/>
          <w:szCs w:val="24"/>
          <w:u w:val="single"/>
        </w:rPr>
        <w:t>Opérateurs et Secteur Privé</w:t>
      </w:r>
      <w:r w:rsidRPr="00A46376">
        <w:rPr>
          <w:rFonts w:asciiTheme="majorBidi" w:hAnsiTheme="majorBidi" w:cstheme="majorBidi"/>
          <w:sz w:val="24"/>
          <w:szCs w:val="24"/>
        </w:rPr>
        <w:t xml:space="preserve"> : Partenaires du gisement GTA (BP, Kosmos Energy, SMH), entreprises intéressées par les infrastructures gazières, consultants spécialisés, acteurs des PPP et investisseurs nationaux et internationaux. (Niveau d'influence : Élevé - Concernés par les réformes réglementaires, les analyses de marché, le financement et les opportunités de passation des marchés).</w:t>
      </w:r>
    </w:p>
    <w:p w14:paraId="2E6B2B6F" w14:textId="77777777" w:rsidR="0083496A" w:rsidRPr="00A46376" w:rsidRDefault="0083496A" w:rsidP="00A46376">
      <w:pPr>
        <w:pStyle w:val="ListParagraph"/>
        <w:numPr>
          <w:ilvl w:val="0"/>
          <w:numId w:val="34"/>
        </w:numPr>
        <w:spacing w:after="0" w:line="276" w:lineRule="auto"/>
        <w:jc w:val="both"/>
        <w:rPr>
          <w:rFonts w:asciiTheme="majorBidi" w:hAnsiTheme="majorBidi" w:cstheme="majorBidi"/>
          <w:sz w:val="24"/>
          <w:szCs w:val="24"/>
        </w:rPr>
      </w:pPr>
      <w:r w:rsidRPr="009C714C">
        <w:rPr>
          <w:rFonts w:asciiTheme="majorBidi" w:hAnsiTheme="majorBidi" w:cstheme="majorBidi"/>
          <w:sz w:val="24"/>
          <w:szCs w:val="24"/>
          <w:u w:val="single"/>
        </w:rPr>
        <w:t>Milieu Académique et Institutions de Formation</w:t>
      </w:r>
      <w:r w:rsidRPr="00A46376">
        <w:rPr>
          <w:rFonts w:asciiTheme="majorBidi" w:hAnsiTheme="majorBidi" w:cstheme="majorBidi"/>
          <w:sz w:val="24"/>
          <w:szCs w:val="24"/>
        </w:rPr>
        <w:t xml:space="preserve"> : Universités, écoles d'ingénieurs, instituts de recherche, et centres de formation technique et professionnelle. (Niveau d'influence : Moyen à Élevé - Bénéficiaires directs des programmes de renforcement du capital humain et pourvoyeurs de la future main-d'œuvre qualifiée).</w:t>
      </w:r>
    </w:p>
    <w:p w14:paraId="606DFEB0" w14:textId="77777777" w:rsidR="0083496A" w:rsidRPr="00A46376" w:rsidRDefault="0083496A" w:rsidP="00A46376">
      <w:pPr>
        <w:pStyle w:val="ListParagraph"/>
        <w:numPr>
          <w:ilvl w:val="0"/>
          <w:numId w:val="34"/>
        </w:numPr>
        <w:spacing w:after="0" w:line="276" w:lineRule="auto"/>
        <w:jc w:val="both"/>
        <w:rPr>
          <w:rFonts w:asciiTheme="majorBidi" w:hAnsiTheme="majorBidi" w:cstheme="majorBidi"/>
          <w:sz w:val="24"/>
          <w:szCs w:val="24"/>
        </w:rPr>
      </w:pPr>
      <w:r w:rsidRPr="009C714C">
        <w:rPr>
          <w:rFonts w:asciiTheme="majorBidi" w:hAnsiTheme="majorBidi" w:cstheme="majorBidi"/>
          <w:sz w:val="24"/>
          <w:szCs w:val="24"/>
          <w:u w:val="single"/>
        </w:rPr>
        <w:t>Société Civile et ONGs</w:t>
      </w:r>
      <w:r w:rsidRPr="00A46376">
        <w:rPr>
          <w:rFonts w:asciiTheme="majorBidi" w:hAnsiTheme="majorBidi" w:cstheme="majorBidi"/>
          <w:sz w:val="24"/>
          <w:szCs w:val="24"/>
        </w:rPr>
        <w:t xml:space="preserve"> : ONG environnementales, associations de protection des droits des travailleurs, acteurs de la transition juste, organisations de jeunes et de femmes. (Niveau d'influence : Moyen à Élevé - Intéressés par les évaluations des risques climatiques, les instruments E&amp;S et la gouvernance des ressources).</w:t>
      </w:r>
    </w:p>
    <w:p w14:paraId="76D09D12" w14:textId="77777777" w:rsidR="0083496A" w:rsidRPr="00A46376" w:rsidRDefault="0083496A" w:rsidP="00A46376">
      <w:pPr>
        <w:pStyle w:val="ListParagraph"/>
        <w:numPr>
          <w:ilvl w:val="0"/>
          <w:numId w:val="34"/>
        </w:numPr>
        <w:spacing w:after="0" w:line="276" w:lineRule="auto"/>
        <w:jc w:val="both"/>
        <w:rPr>
          <w:rFonts w:asciiTheme="majorBidi" w:hAnsiTheme="majorBidi" w:cstheme="majorBidi"/>
          <w:sz w:val="24"/>
          <w:szCs w:val="24"/>
        </w:rPr>
      </w:pPr>
      <w:r w:rsidRPr="009C714C">
        <w:rPr>
          <w:rFonts w:asciiTheme="majorBidi" w:hAnsiTheme="majorBidi" w:cstheme="majorBidi"/>
          <w:sz w:val="24"/>
          <w:szCs w:val="24"/>
          <w:u w:val="single"/>
        </w:rPr>
        <w:t>Médias</w:t>
      </w:r>
      <w:r w:rsidRPr="00A46376">
        <w:rPr>
          <w:rFonts w:asciiTheme="majorBidi" w:hAnsiTheme="majorBidi" w:cstheme="majorBidi"/>
          <w:sz w:val="24"/>
          <w:szCs w:val="24"/>
        </w:rPr>
        <w:t xml:space="preserve"> : Presse écrite, télévision, radio, presse en ligne et journalistes spécialisés en économie/énergie. (Niveau d'influence : Moyen - Vecteurs indispensables pour l'information du grand public, la transparence et la diffusion des objectifs et résultats du projet).</w:t>
      </w:r>
    </w:p>
    <w:p w14:paraId="3C26B466" w14:textId="0A327BC5" w:rsidR="0083496A" w:rsidRPr="00A46376" w:rsidRDefault="0083496A" w:rsidP="00A46376">
      <w:pPr>
        <w:pStyle w:val="ListParagraph"/>
        <w:numPr>
          <w:ilvl w:val="0"/>
          <w:numId w:val="34"/>
        </w:numPr>
        <w:spacing w:after="0" w:line="276" w:lineRule="auto"/>
        <w:jc w:val="both"/>
        <w:rPr>
          <w:rFonts w:asciiTheme="majorBidi" w:hAnsiTheme="majorBidi" w:cstheme="majorBidi"/>
          <w:sz w:val="24"/>
          <w:szCs w:val="24"/>
        </w:rPr>
      </w:pPr>
      <w:r w:rsidRPr="009C714C">
        <w:rPr>
          <w:rFonts w:asciiTheme="majorBidi" w:hAnsiTheme="majorBidi" w:cstheme="majorBidi"/>
          <w:sz w:val="24"/>
          <w:szCs w:val="24"/>
          <w:u w:val="single"/>
        </w:rPr>
        <w:t>Partenaires Techniques et Financiers (PTF)</w:t>
      </w:r>
      <w:r w:rsidRPr="00A46376">
        <w:rPr>
          <w:rFonts w:asciiTheme="majorBidi" w:hAnsiTheme="majorBidi" w:cstheme="majorBidi"/>
          <w:sz w:val="24"/>
          <w:szCs w:val="24"/>
        </w:rPr>
        <w:t xml:space="preserve"> : Banque mondiale (IDA, IFC, MIGA), ainsi que les autres partenaires techniques et financiers bilatéraux ou multilatéraux concernés par le secteur énergétique. (Niveau d'influence : Très Élevé - Bailleurs de fonds, garants des normes, et co</w:t>
      </w:r>
      <w:r w:rsidR="00321A64">
        <w:rPr>
          <w:rFonts w:asciiTheme="majorBidi" w:hAnsiTheme="majorBidi" w:cstheme="majorBidi"/>
          <w:sz w:val="24"/>
          <w:szCs w:val="24"/>
        </w:rPr>
        <w:t>-</w:t>
      </w:r>
      <w:r w:rsidRPr="00A46376">
        <w:rPr>
          <w:rFonts w:asciiTheme="majorBidi" w:hAnsiTheme="majorBidi" w:cstheme="majorBidi"/>
          <w:sz w:val="24"/>
          <w:szCs w:val="24"/>
        </w:rPr>
        <w:t>financeurs potentiels pour les phases d'investissement ultérieures).</w:t>
      </w:r>
    </w:p>
    <w:p w14:paraId="33E38672" w14:textId="77777777" w:rsidR="0083496A" w:rsidRPr="00A46376" w:rsidRDefault="0083496A" w:rsidP="00A46376">
      <w:pPr>
        <w:spacing w:after="0" w:line="276" w:lineRule="auto"/>
        <w:jc w:val="both"/>
        <w:rPr>
          <w:rFonts w:asciiTheme="majorBidi" w:hAnsiTheme="majorBidi" w:cstheme="majorBidi"/>
          <w:sz w:val="24"/>
          <w:szCs w:val="24"/>
        </w:rPr>
      </w:pPr>
    </w:p>
    <w:p w14:paraId="3AA991A4" w14:textId="77777777" w:rsidR="0083496A" w:rsidRPr="00A46376" w:rsidRDefault="0083496A" w:rsidP="00A46376">
      <w:pPr>
        <w:pStyle w:val="Heading2"/>
        <w:spacing w:line="276" w:lineRule="auto"/>
        <w:jc w:val="both"/>
        <w:rPr>
          <w:rFonts w:asciiTheme="majorBidi" w:hAnsiTheme="majorBidi"/>
          <w:sz w:val="24"/>
          <w:szCs w:val="24"/>
        </w:rPr>
      </w:pPr>
      <w:bookmarkStart w:id="11" w:name="_Toc241155393"/>
      <w:r w:rsidRPr="00A46376">
        <w:rPr>
          <w:rFonts w:asciiTheme="majorBidi" w:eastAsiaTheme="minorHAnsi" w:hAnsiTheme="majorBidi"/>
          <w:b/>
          <w:bCs/>
          <w:color w:val="auto"/>
          <w:sz w:val="24"/>
          <w:szCs w:val="24"/>
        </w:rPr>
        <w:t>4.4. Individus ou groupes défavorisés ou vulnérables</w:t>
      </w:r>
      <w:r w:rsidRPr="00A46376">
        <w:rPr>
          <w:rStyle w:val="EndnoteReference"/>
          <w:rFonts w:asciiTheme="majorBidi" w:hAnsiTheme="majorBidi"/>
          <w:sz w:val="24"/>
          <w:szCs w:val="24"/>
        </w:rPr>
        <w:endnoteReference w:id="1"/>
      </w:r>
      <w:bookmarkEnd w:id="11"/>
    </w:p>
    <w:p w14:paraId="16450C55" w14:textId="77777777" w:rsidR="0083496A" w:rsidRPr="00A46376" w:rsidRDefault="0083496A" w:rsidP="00A46376">
      <w:pPr>
        <w:spacing w:after="0" w:line="276" w:lineRule="auto"/>
        <w:jc w:val="both"/>
        <w:rPr>
          <w:rFonts w:asciiTheme="majorBidi" w:hAnsiTheme="majorBidi" w:cstheme="majorBidi"/>
          <w:sz w:val="24"/>
          <w:szCs w:val="24"/>
        </w:rPr>
      </w:pPr>
      <w:r w:rsidRPr="00A46376">
        <w:rPr>
          <w:rFonts w:asciiTheme="majorBidi" w:hAnsiTheme="majorBidi" w:cstheme="majorBidi"/>
          <w:sz w:val="24"/>
          <w:szCs w:val="24"/>
        </w:rPr>
        <w:t xml:space="preserve">Les groupes défavorisés ou vulnérables identifiés sont : </w:t>
      </w:r>
    </w:p>
    <w:p w14:paraId="71F6E4DA" w14:textId="77777777" w:rsidR="0083496A" w:rsidRPr="00A46376" w:rsidRDefault="0083496A" w:rsidP="00A46376">
      <w:pPr>
        <w:spacing w:after="0" w:line="276" w:lineRule="auto"/>
        <w:jc w:val="both"/>
        <w:rPr>
          <w:rFonts w:asciiTheme="majorBidi" w:hAnsiTheme="majorBidi" w:cstheme="majorBidi"/>
          <w:sz w:val="24"/>
          <w:szCs w:val="24"/>
        </w:rPr>
      </w:pPr>
    </w:p>
    <w:tbl>
      <w:tblPr>
        <w:tblStyle w:val="TableGrid"/>
        <w:tblW w:w="0" w:type="auto"/>
        <w:tblInd w:w="10" w:type="dxa"/>
        <w:tblLook w:val="04A0" w:firstRow="1" w:lastRow="0" w:firstColumn="1" w:lastColumn="0" w:noHBand="0" w:noVBand="1"/>
      </w:tblPr>
      <w:tblGrid>
        <w:gridCol w:w="2537"/>
        <w:gridCol w:w="6083"/>
      </w:tblGrid>
      <w:tr w:rsidR="0083496A" w:rsidRPr="00A46376" w14:paraId="4924A38D" w14:textId="77777777" w:rsidTr="00DE1F59">
        <w:tc>
          <w:tcPr>
            <w:tcW w:w="2537" w:type="dxa"/>
            <w:shd w:val="clear" w:color="auto" w:fill="00B0F0"/>
          </w:tcPr>
          <w:p w14:paraId="27B68671" w14:textId="77777777" w:rsidR="0083496A" w:rsidRPr="00A46376" w:rsidRDefault="0083496A" w:rsidP="00A46376">
            <w:pPr>
              <w:spacing w:line="276" w:lineRule="auto"/>
              <w:jc w:val="both"/>
              <w:rPr>
                <w:rFonts w:asciiTheme="majorBidi" w:hAnsiTheme="majorBidi" w:cstheme="majorBidi"/>
                <w:b/>
                <w:sz w:val="24"/>
                <w:szCs w:val="24"/>
              </w:rPr>
            </w:pPr>
            <w:r w:rsidRPr="00A46376">
              <w:rPr>
                <w:rFonts w:asciiTheme="majorBidi" w:hAnsiTheme="majorBidi" w:cstheme="majorBidi"/>
                <w:b/>
                <w:sz w:val="24"/>
                <w:szCs w:val="24"/>
              </w:rPr>
              <w:t xml:space="preserve">Catégories </w:t>
            </w:r>
          </w:p>
        </w:tc>
        <w:tc>
          <w:tcPr>
            <w:tcW w:w="6083" w:type="dxa"/>
            <w:shd w:val="clear" w:color="auto" w:fill="00B0F0"/>
          </w:tcPr>
          <w:p w14:paraId="205071A6" w14:textId="77777777" w:rsidR="0083496A" w:rsidRPr="00A46376" w:rsidRDefault="0083496A" w:rsidP="00A46376">
            <w:pPr>
              <w:spacing w:line="276" w:lineRule="auto"/>
              <w:jc w:val="both"/>
              <w:rPr>
                <w:rFonts w:asciiTheme="majorBidi" w:hAnsiTheme="majorBidi" w:cstheme="majorBidi"/>
                <w:b/>
                <w:sz w:val="24"/>
                <w:szCs w:val="24"/>
              </w:rPr>
            </w:pPr>
            <w:r w:rsidRPr="00A46376">
              <w:rPr>
                <w:rFonts w:asciiTheme="majorBidi" w:hAnsiTheme="majorBidi" w:cstheme="majorBidi"/>
                <w:b/>
                <w:sz w:val="24"/>
                <w:szCs w:val="24"/>
              </w:rPr>
              <w:t>Liens avec le projet</w:t>
            </w:r>
          </w:p>
        </w:tc>
      </w:tr>
      <w:tr w:rsidR="0083496A" w:rsidRPr="00A46376" w14:paraId="40603702" w14:textId="77777777" w:rsidTr="00DE1F59">
        <w:tc>
          <w:tcPr>
            <w:tcW w:w="2537" w:type="dxa"/>
          </w:tcPr>
          <w:p w14:paraId="1DA3458C" w14:textId="77777777" w:rsidR="0083496A" w:rsidRPr="00A46376" w:rsidRDefault="0083496A" w:rsidP="00A46376">
            <w:pPr>
              <w:spacing w:line="276" w:lineRule="auto"/>
              <w:jc w:val="both"/>
              <w:rPr>
                <w:rFonts w:asciiTheme="majorBidi" w:hAnsiTheme="majorBidi" w:cstheme="majorBidi"/>
                <w:sz w:val="24"/>
                <w:szCs w:val="24"/>
              </w:rPr>
            </w:pPr>
            <w:r w:rsidRPr="00A46376">
              <w:rPr>
                <w:rFonts w:asciiTheme="majorBidi" w:hAnsiTheme="majorBidi" w:cstheme="majorBidi"/>
                <w:sz w:val="24"/>
                <w:szCs w:val="24"/>
              </w:rPr>
              <w:t>Femmes actives dans la transformation et la commercialisation des produits halieutiques </w:t>
            </w:r>
          </w:p>
        </w:tc>
        <w:tc>
          <w:tcPr>
            <w:tcW w:w="6083" w:type="dxa"/>
          </w:tcPr>
          <w:p w14:paraId="1BAFBFDD" w14:textId="77777777" w:rsidR="0083496A" w:rsidRPr="00A46376" w:rsidRDefault="0083496A" w:rsidP="00A46376">
            <w:pPr>
              <w:spacing w:line="276" w:lineRule="auto"/>
              <w:jc w:val="both"/>
              <w:rPr>
                <w:rFonts w:asciiTheme="majorBidi" w:hAnsiTheme="majorBidi" w:cstheme="majorBidi"/>
                <w:sz w:val="24"/>
                <w:szCs w:val="24"/>
              </w:rPr>
            </w:pPr>
            <w:r w:rsidRPr="00A46376">
              <w:rPr>
                <w:rFonts w:asciiTheme="majorBidi" w:hAnsiTheme="majorBidi" w:cstheme="majorBidi"/>
                <w:sz w:val="24"/>
                <w:szCs w:val="24"/>
              </w:rPr>
              <w:t>Accès limité aux réunions, faible représentation dans certains cadres communautaires. Forte sensibilité aux risques environnementaux aux impacts perçus sur les moyens de subsistance.</w:t>
            </w:r>
          </w:p>
        </w:tc>
      </w:tr>
      <w:tr w:rsidR="0083496A" w:rsidRPr="00A46376" w14:paraId="44F1017E" w14:textId="77777777" w:rsidTr="00DE1F59">
        <w:tc>
          <w:tcPr>
            <w:tcW w:w="2537" w:type="dxa"/>
          </w:tcPr>
          <w:p w14:paraId="462B2AA2" w14:textId="77777777" w:rsidR="0083496A" w:rsidRPr="00A46376" w:rsidRDefault="0083496A" w:rsidP="00A46376">
            <w:pPr>
              <w:spacing w:line="276" w:lineRule="auto"/>
              <w:jc w:val="both"/>
              <w:rPr>
                <w:rFonts w:asciiTheme="majorBidi" w:hAnsiTheme="majorBidi" w:cstheme="majorBidi"/>
                <w:sz w:val="24"/>
                <w:szCs w:val="24"/>
              </w:rPr>
            </w:pPr>
            <w:r w:rsidRPr="00A46376">
              <w:rPr>
                <w:rFonts w:asciiTheme="majorBidi" w:hAnsiTheme="majorBidi" w:cstheme="majorBidi"/>
                <w:sz w:val="24"/>
                <w:szCs w:val="24"/>
              </w:rPr>
              <w:t>Personnes vivant avec un handicap </w:t>
            </w:r>
          </w:p>
        </w:tc>
        <w:tc>
          <w:tcPr>
            <w:tcW w:w="6083" w:type="dxa"/>
          </w:tcPr>
          <w:p w14:paraId="010F59B4" w14:textId="77777777" w:rsidR="0083496A" w:rsidRPr="00A46376" w:rsidRDefault="0083496A" w:rsidP="00A46376">
            <w:pPr>
              <w:spacing w:line="276" w:lineRule="auto"/>
              <w:jc w:val="both"/>
              <w:rPr>
                <w:rFonts w:asciiTheme="majorBidi" w:hAnsiTheme="majorBidi" w:cstheme="majorBidi"/>
                <w:sz w:val="24"/>
                <w:szCs w:val="24"/>
              </w:rPr>
            </w:pPr>
            <w:r w:rsidRPr="00A46376">
              <w:rPr>
                <w:rFonts w:asciiTheme="majorBidi" w:hAnsiTheme="majorBidi" w:cstheme="majorBidi"/>
                <w:sz w:val="24"/>
                <w:szCs w:val="24"/>
              </w:rPr>
              <w:t xml:space="preserve">Difficulté d’accès aux lieux de consultation ou support d’information non adapté </w:t>
            </w:r>
          </w:p>
        </w:tc>
      </w:tr>
      <w:tr w:rsidR="0083496A" w:rsidRPr="00A46376" w14:paraId="5B8BF035" w14:textId="77777777" w:rsidTr="00DE1F59">
        <w:tc>
          <w:tcPr>
            <w:tcW w:w="2537" w:type="dxa"/>
          </w:tcPr>
          <w:p w14:paraId="6CD313F7" w14:textId="77777777" w:rsidR="0083496A" w:rsidRPr="00A46376" w:rsidRDefault="0083496A" w:rsidP="00A46376">
            <w:pPr>
              <w:spacing w:line="276" w:lineRule="auto"/>
              <w:jc w:val="both"/>
              <w:rPr>
                <w:rFonts w:asciiTheme="majorBidi" w:hAnsiTheme="majorBidi" w:cstheme="majorBidi"/>
                <w:sz w:val="24"/>
                <w:szCs w:val="24"/>
              </w:rPr>
            </w:pPr>
            <w:r w:rsidRPr="00A46376">
              <w:rPr>
                <w:rFonts w:asciiTheme="majorBidi" w:hAnsiTheme="majorBidi" w:cstheme="majorBidi"/>
                <w:sz w:val="24"/>
                <w:szCs w:val="24"/>
              </w:rPr>
              <w:t>Personnes âgées et/ou faiblement alphabétisés</w:t>
            </w:r>
          </w:p>
        </w:tc>
        <w:tc>
          <w:tcPr>
            <w:tcW w:w="6083" w:type="dxa"/>
          </w:tcPr>
          <w:p w14:paraId="78B1E430" w14:textId="77777777" w:rsidR="0083496A" w:rsidRPr="00A46376" w:rsidRDefault="0083496A" w:rsidP="00A46376">
            <w:pPr>
              <w:spacing w:line="276" w:lineRule="auto"/>
              <w:jc w:val="both"/>
              <w:rPr>
                <w:rFonts w:asciiTheme="majorBidi" w:hAnsiTheme="majorBidi" w:cstheme="majorBidi"/>
                <w:sz w:val="24"/>
                <w:szCs w:val="24"/>
              </w:rPr>
            </w:pPr>
            <w:r w:rsidRPr="00A46376">
              <w:rPr>
                <w:rFonts w:asciiTheme="majorBidi" w:hAnsiTheme="majorBidi" w:cstheme="majorBidi"/>
                <w:sz w:val="24"/>
                <w:szCs w:val="24"/>
              </w:rPr>
              <w:t>Difficulté à comprendre les documents techniques, besoin d’informations orales en langues nationales ou visuelles</w:t>
            </w:r>
          </w:p>
        </w:tc>
      </w:tr>
      <w:tr w:rsidR="0083496A" w:rsidRPr="00A46376" w14:paraId="198247B5" w14:textId="77777777" w:rsidTr="00DE1F59">
        <w:tc>
          <w:tcPr>
            <w:tcW w:w="2537" w:type="dxa"/>
          </w:tcPr>
          <w:p w14:paraId="228B1B50" w14:textId="77777777" w:rsidR="0083496A" w:rsidRPr="00A46376" w:rsidRDefault="0083496A" w:rsidP="00A46376">
            <w:pPr>
              <w:spacing w:line="276" w:lineRule="auto"/>
              <w:jc w:val="both"/>
              <w:rPr>
                <w:rFonts w:asciiTheme="majorBidi" w:hAnsiTheme="majorBidi" w:cstheme="majorBidi"/>
                <w:sz w:val="24"/>
                <w:szCs w:val="24"/>
              </w:rPr>
            </w:pPr>
            <w:r w:rsidRPr="00A46376">
              <w:rPr>
                <w:rFonts w:asciiTheme="majorBidi" w:hAnsiTheme="majorBidi" w:cstheme="majorBidi"/>
                <w:sz w:val="24"/>
                <w:szCs w:val="24"/>
              </w:rPr>
              <w:t>Personnes exposées aux harcèlements sexuels </w:t>
            </w:r>
          </w:p>
        </w:tc>
        <w:tc>
          <w:tcPr>
            <w:tcW w:w="6083" w:type="dxa"/>
          </w:tcPr>
          <w:p w14:paraId="4DA3A1C8" w14:textId="77777777" w:rsidR="0083496A" w:rsidRPr="00A46376" w:rsidRDefault="0083496A" w:rsidP="00A46376">
            <w:pPr>
              <w:spacing w:line="276" w:lineRule="auto"/>
              <w:jc w:val="both"/>
              <w:rPr>
                <w:rFonts w:asciiTheme="majorBidi" w:hAnsiTheme="majorBidi" w:cstheme="majorBidi"/>
                <w:sz w:val="24"/>
                <w:szCs w:val="24"/>
              </w:rPr>
            </w:pPr>
            <w:r w:rsidRPr="00A46376">
              <w:rPr>
                <w:rFonts w:asciiTheme="majorBidi" w:hAnsiTheme="majorBidi" w:cstheme="majorBidi"/>
                <w:sz w:val="24"/>
                <w:szCs w:val="24"/>
              </w:rPr>
              <w:t>Besoin de canaux de plaintes confidentiel accessible et relié aux services compétents.</w:t>
            </w:r>
          </w:p>
        </w:tc>
      </w:tr>
      <w:tr w:rsidR="0083496A" w:rsidRPr="00A46376" w14:paraId="46806BFE" w14:textId="77777777" w:rsidTr="00DE1F59">
        <w:tc>
          <w:tcPr>
            <w:tcW w:w="2537" w:type="dxa"/>
          </w:tcPr>
          <w:p w14:paraId="36059A42" w14:textId="77777777" w:rsidR="0083496A" w:rsidRPr="00A46376" w:rsidRDefault="0083496A" w:rsidP="00A46376">
            <w:pPr>
              <w:spacing w:line="276" w:lineRule="auto"/>
              <w:jc w:val="both"/>
              <w:rPr>
                <w:rFonts w:asciiTheme="majorBidi" w:hAnsiTheme="majorBidi" w:cstheme="majorBidi"/>
                <w:sz w:val="24"/>
                <w:szCs w:val="24"/>
              </w:rPr>
            </w:pPr>
            <w:r w:rsidRPr="00A46376">
              <w:rPr>
                <w:rFonts w:asciiTheme="majorBidi" w:hAnsiTheme="majorBidi" w:cstheme="majorBidi"/>
                <w:sz w:val="24"/>
                <w:szCs w:val="24"/>
              </w:rPr>
              <w:t>Jeunes demandeurs d’emploi</w:t>
            </w:r>
          </w:p>
        </w:tc>
        <w:tc>
          <w:tcPr>
            <w:tcW w:w="6083" w:type="dxa"/>
          </w:tcPr>
          <w:p w14:paraId="0FFBB5F7" w14:textId="77777777" w:rsidR="0083496A" w:rsidRPr="00A46376" w:rsidRDefault="0083496A" w:rsidP="00A46376">
            <w:pPr>
              <w:spacing w:line="276" w:lineRule="auto"/>
              <w:jc w:val="both"/>
              <w:rPr>
                <w:rFonts w:asciiTheme="majorBidi" w:hAnsiTheme="majorBidi" w:cstheme="majorBidi"/>
                <w:sz w:val="24"/>
                <w:szCs w:val="24"/>
              </w:rPr>
            </w:pPr>
            <w:r w:rsidRPr="00A46376">
              <w:rPr>
                <w:rFonts w:asciiTheme="majorBidi" w:hAnsiTheme="majorBidi" w:cstheme="majorBidi"/>
                <w:sz w:val="24"/>
                <w:szCs w:val="24"/>
              </w:rPr>
              <w:t>Attentes élevées sur les opportunités du secteur et besoins de formation.</w:t>
            </w:r>
          </w:p>
        </w:tc>
      </w:tr>
    </w:tbl>
    <w:p w14:paraId="47BBD001" w14:textId="77777777" w:rsidR="0083496A" w:rsidRDefault="0083496A" w:rsidP="0083496A">
      <w:pPr>
        <w:spacing w:after="0" w:line="240" w:lineRule="auto"/>
        <w:rPr>
          <w:rFonts w:ascii="Tahoma" w:hAnsi="Tahoma" w:cs="Tahoma"/>
          <w:sz w:val="24"/>
          <w:szCs w:val="24"/>
        </w:rPr>
      </w:pPr>
    </w:p>
    <w:p w14:paraId="482E555B" w14:textId="77777777" w:rsidR="00321A64" w:rsidRDefault="00321A64" w:rsidP="0083496A">
      <w:pPr>
        <w:spacing w:after="0" w:line="240" w:lineRule="auto"/>
        <w:rPr>
          <w:rFonts w:ascii="Tahoma" w:hAnsi="Tahoma" w:cs="Tahoma"/>
          <w:sz w:val="24"/>
          <w:szCs w:val="24"/>
        </w:rPr>
      </w:pPr>
    </w:p>
    <w:p w14:paraId="58A5BDFC" w14:textId="77777777" w:rsidR="00321A64" w:rsidRPr="00DD76DA" w:rsidRDefault="00321A64" w:rsidP="0083496A">
      <w:pPr>
        <w:spacing w:after="0" w:line="240" w:lineRule="auto"/>
        <w:rPr>
          <w:rFonts w:ascii="Tahoma" w:hAnsi="Tahoma" w:cs="Tahoma"/>
          <w:sz w:val="24"/>
          <w:szCs w:val="24"/>
        </w:rPr>
      </w:pPr>
    </w:p>
    <w:p w14:paraId="0B27A350" w14:textId="44744736" w:rsidR="0083496A" w:rsidRPr="00321A64" w:rsidRDefault="0083496A" w:rsidP="00321A64">
      <w:pPr>
        <w:pStyle w:val="Title"/>
        <w:widowControl w:val="0"/>
        <w:numPr>
          <w:ilvl w:val="0"/>
          <w:numId w:val="35"/>
        </w:numPr>
        <w:autoSpaceDE w:val="0"/>
        <w:autoSpaceDN w:val="0"/>
        <w:spacing w:after="0" w:line="276" w:lineRule="auto"/>
        <w:ind w:right="455"/>
        <w:contextualSpacing w:val="0"/>
        <w:rPr>
          <w:rFonts w:asciiTheme="majorBidi" w:eastAsiaTheme="minorHAnsi" w:hAnsiTheme="majorBidi"/>
          <w:b/>
          <w:bCs/>
          <w:kern w:val="2"/>
          <w:sz w:val="28"/>
          <w:szCs w:val="28"/>
        </w:rPr>
      </w:pPr>
      <w:bookmarkStart w:id="12" w:name="_Toc241155394"/>
      <w:r w:rsidRPr="00321A64">
        <w:rPr>
          <w:rFonts w:asciiTheme="majorBidi" w:eastAsiaTheme="minorHAnsi" w:hAnsiTheme="majorBidi"/>
          <w:b/>
          <w:bCs/>
          <w:kern w:val="2"/>
          <w:sz w:val="28"/>
          <w:szCs w:val="28"/>
        </w:rPr>
        <w:lastRenderedPageBreak/>
        <w:t>Programme de mobilisation des parties prenantes  </w:t>
      </w:r>
      <w:bookmarkEnd w:id="12"/>
    </w:p>
    <w:p w14:paraId="0AB0EB97" w14:textId="230EAD34" w:rsidR="0083496A" w:rsidRPr="00AB7F24" w:rsidRDefault="0083496A" w:rsidP="00AB7F24">
      <w:pPr>
        <w:pStyle w:val="Heading2"/>
        <w:numPr>
          <w:ilvl w:val="1"/>
          <w:numId w:val="35"/>
        </w:numPr>
        <w:spacing w:line="276" w:lineRule="auto"/>
        <w:ind w:left="810" w:hanging="450"/>
        <w:jc w:val="both"/>
        <w:rPr>
          <w:rFonts w:asciiTheme="majorBidi" w:hAnsiTheme="majorBidi"/>
          <w:b/>
          <w:bCs/>
          <w:sz w:val="24"/>
          <w:szCs w:val="24"/>
        </w:rPr>
      </w:pPr>
      <w:bookmarkStart w:id="13" w:name="_Toc241155395"/>
      <w:r w:rsidRPr="00AB7F24">
        <w:rPr>
          <w:rFonts w:asciiTheme="majorBidi" w:eastAsiaTheme="minorHAnsi" w:hAnsiTheme="majorBidi"/>
          <w:b/>
          <w:bCs/>
          <w:color w:val="auto"/>
          <w:sz w:val="24"/>
          <w:szCs w:val="24"/>
        </w:rPr>
        <w:t>Résumé de la participation des parties prenantes à la préparation du projet</w:t>
      </w:r>
      <w:bookmarkEnd w:id="13"/>
      <w:r w:rsidRPr="00AB7F24">
        <w:rPr>
          <w:rFonts w:asciiTheme="majorBidi" w:hAnsiTheme="majorBidi"/>
          <w:sz w:val="24"/>
          <w:szCs w:val="24"/>
        </w:rPr>
        <w:t>  </w:t>
      </w:r>
    </w:p>
    <w:p w14:paraId="404AA3D2" w14:textId="6A5E5B63" w:rsidR="0083496A" w:rsidRPr="00AB7F24" w:rsidRDefault="0083496A" w:rsidP="00AB7F24">
      <w:pPr>
        <w:spacing w:line="276" w:lineRule="auto"/>
        <w:jc w:val="both"/>
        <w:rPr>
          <w:rFonts w:asciiTheme="majorBidi" w:hAnsiTheme="majorBidi" w:cstheme="majorBidi"/>
          <w:sz w:val="24"/>
          <w:szCs w:val="24"/>
        </w:rPr>
      </w:pPr>
      <w:r w:rsidRPr="00AB7F24">
        <w:rPr>
          <w:rFonts w:asciiTheme="majorBidi" w:hAnsiTheme="majorBidi" w:cstheme="majorBidi"/>
          <w:sz w:val="24"/>
          <w:szCs w:val="24"/>
        </w:rPr>
        <w:t xml:space="preserve">Une réunion avec les parties prenantes institutionnelles a été organisée le 02 octobre 2026 suivant les dispositions de la NES 10 de la Banque mondiale et </w:t>
      </w:r>
      <w:r w:rsidR="7DF20E49" w:rsidRPr="00AB7F24">
        <w:rPr>
          <w:rFonts w:asciiTheme="majorBidi" w:hAnsiTheme="majorBidi" w:cstheme="majorBidi"/>
          <w:sz w:val="24"/>
          <w:szCs w:val="24"/>
        </w:rPr>
        <w:t>des dispositions légales nationales en Mauritanie</w:t>
      </w:r>
      <w:r w:rsidRPr="00AB7F24">
        <w:rPr>
          <w:rFonts w:asciiTheme="majorBidi" w:hAnsiTheme="majorBidi" w:cstheme="majorBidi"/>
          <w:sz w:val="24"/>
          <w:szCs w:val="24"/>
        </w:rPr>
        <w:t>.</w:t>
      </w:r>
    </w:p>
    <w:p w14:paraId="0A7B9053" w14:textId="77777777" w:rsidR="0083496A" w:rsidRPr="00AB7F24" w:rsidRDefault="0083496A" w:rsidP="00AB7F24">
      <w:pPr>
        <w:spacing w:line="276" w:lineRule="auto"/>
        <w:jc w:val="both"/>
        <w:rPr>
          <w:rFonts w:asciiTheme="majorBidi" w:hAnsiTheme="majorBidi" w:cstheme="majorBidi"/>
          <w:sz w:val="24"/>
          <w:szCs w:val="24"/>
        </w:rPr>
      </w:pPr>
      <w:r w:rsidRPr="00AB7F24">
        <w:rPr>
          <w:rFonts w:asciiTheme="majorBidi" w:hAnsiTheme="majorBidi" w:cstheme="majorBidi"/>
          <w:sz w:val="24"/>
          <w:szCs w:val="24"/>
        </w:rPr>
        <w:t xml:space="preserve">La réunion a regroupé des représentants des parties prenantes suivantes : </w:t>
      </w:r>
    </w:p>
    <w:p w14:paraId="415C7C3F" w14:textId="77777777" w:rsidR="0083496A" w:rsidRPr="00AB7F24" w:rsidRDefault="0083496A" w:rsidP="00AB7F24">
      <w:pPr>
        <w:pStyle w:val="ListParagraph"/>
        <w:numPr>
          <w:ilvl w:val="0"/>
          <w:numId w:val="36"/>
        </w:numPr>
        <w:spacing w:line="276" w:lineRule="auto"/>
        <w:jc w:val="both"/>
        <w:rPr>
          <w:rFonts w:asciiTheme="majorBidi" w:hAnsiTheme="majorBidi" w:cstheme="majorBidi"/>
          <w:sz w:val="24"/>
          <w:szCs w:val="24"/>
        </w:rPr>
      </w:pPr>
      <w:r w:rsidRPr="00AB7F24">
        <w:rPr>
          <w:rFonts w:asciiTheme="majorBidi" w:hAnsiTheme="majorBidi" w:cstheme="majorBidi"/>
          <w:sz w:val="24"/>
          <w:szCs w:val="24"/>
        </w:rPr>
        <w:t xml:space="preserve">Niveau institutionnel central à travers les départements ministériels : </w:t>
      </w:r>
    </w:p>
    <w:p w14:paraId="14174A4A" w14:textId="40E4D1B0" w:rsidR="0083496A" w:rsidRPr="00AB7F24" w:rsidRDefault="00BE76AF" w:rsidP="00AB7F24">
      <w:pPr>
        <w:pStyle w:val="ListParagraph"/>
        <w:numPr>
          <w:ilvl w:val="0"/>
          <w:numId w:val="37"/>
        </w:numPr>
        <w:spacing w:line="276" w:lineRule="auto"/>
        <w:jc w:val="both"/>
        <w:rPr>
          <w:rFonts w:asciiTheme="majorBidi" w:hAnsiTheme="majorBidi" w:cstheme="majorBidi"/>
          <w:sz w:val="24"/>
          <w:szCs w:val="24"/>
        </w:rPr>
      </w:pPr>
      <w:r w:rsidRPr="00AB7F24">
        <w:rPr>
          <w:rFonts w:asciiTheme="majorBidi" w:hAnsiTheme="majorBidi" w:cstheme="majorBidi"/>
          <w:sz w:val="24"/>
          <w:szCs w:val="24"/>
        </w:rPr>
        <w:t xml:space="preserve">Ministère de l’Energie et du Pétrole (MEP) </w:t>
      </w:r>
      <w:r w:rsidR="0083496A" w:rsidRPr="00AB7F24">
        <w:rPr>
          <w:rFonts w:asciiTheme="majorBidi" w:hAnsiTheme="majorBidi" w:cstheme="majorBidi"/>
          <w:sz w:val="24"/>
          <w:szCs w:val="24"/>
        </w:rPr>
        <w:t>: Direction du Suivi Environnemental et la Direction de l’Electricité ;</w:t>
      </w:r>
    </w:p>
    <w:p w14:paraId="5C89C4B5" w14:textId="5E6EC277" w:rsidR="0083496A" w:rsidRPr="00AB7F24" w:rsidRDefault="0083496A" w:rsidP="00AB7F24">
      <w:pPr>
        <w:pStyle w:val="ListParagraph"/>
        <w:numPr>
          <w:ilvl w:val="0"/>
          <w:numId w:val="37"/>
        </w:numPr>
        <w:spacing w:line="276" w:lineRule="auto"/>
        <w:jc w:val="both"/>
        <w:rPr>
          <w:rFonts w:asciiTheme="majorBidi" w:hAnsiTheme="majorBidi" w:cstheme="majorBidi"/>
          <w:sz w:val="24"/>
          <w:szCs w:val="24"/>
        </w:rPr>
      </w:pPr>
      <w:r w:rsidRPr="00AB7F24">
        <w:rPr>
          <w:rFonts w:asciiTheme="majorBidi" w:hAnsiTheme="majorBidi" w:cstheme="majorBidi"/>
          <w:sz w:val="24"/>
          <w:szCs w:val="24"/>
        </w:rPr>
        <w:t xml:space="preserve"> Ministère de l’Environnement et du Développement Durable </w:t>
      </w:r>
      <w:r w:rsidR="00BE76AF" w:rsidRPr="00AB7F24">
        <w:rPr>
          <w:rFonts w:asciiTheme="majorBidi" w:hAnsiTheme="majorBidi" w:cstheme="majorBidi"/>
          <w:sz w:val="24"/>
          <w:szCs w:val="24"/>
        </w:rPr>
        <w:t>(MEDD)</w:t>
      </w:r>
      <w:r w:rsidRPr="00AB7F24">
        <w:rPr>
          <w:rFonts w:asciiTheme="majorBidi" w:hAnsiTheme="majorBidi" w:cstheme="majorBidi"/>
          <w:sz w:val="24"/>
          <w:szCs w:val="24"/>
        </w:rPr>
        <w:t>: Direction de l’Evaluation et du Contrôle Environnemental </w:t>
      </w:r>
      <w:r w:rsidR="20BE90BA" w:rsidRPr="00AB7F24">
        <w:rPr>
          <w:rFonts w:asciiTheme="majorBidi" w:hAnsiTheme="majorBidi" w:cstheme="majorBidi"/>
          <w:sz w:val="24"/>
          <w:szCs w:val="24"/>
        </w:rPr>
        <w:t>(DECE)</w:t>
      </w:r>
      <w:r w:rsidRPr="00AB7F24">
        <w:rPr>
          <w:rFonts w:asciiTheme="majorBidi" w:hAnsiTheme="majorBidi" w:cstheme="majorBidi"/>
          <w:sz w:val="24"/>
          <w:szCs w:val="24"/>
        </w:rPr>
        <w:t>;</w:t>
      </w:r>
    </w:p>
    <w:p w14:paraId="2C4C4D10" w14:textId="77777777" w:rsidR="0083496A" w:rsidRPr="00AB7F24" w:rsidRDefault="0083496A" w:rsidP="00AB7F24">
      <w:pPr>
        <w:pStyle w:val="ListParagraph"/>
        <w:numPr>
          <w:ilvl w:val="0"/>
          <w:numId w:val="37"/>
        </w:numPr>
        <w:spacing w:line="276" w:lineRule="auto"/>
        <w:jc w:val="both"/>
        <w:rPr>
          <w:rFonts w:asciiTheme="majorBidi" w:hAnsiTheme="majorBidi" w:cstheme="majorBidi"/>
          <w:sz w:val="24"/>
          <w:szCs w:val="24"/>
        </w:rPr>
      </w:pPr>
      <w:r w:rsidRPr="00AB7F24">
        <w:rPr>
          <w:rFonts w:asciiTheme="majorBidi" w:hAnsiTheme="majorBidi" w:cstheme="majorBidi"/>
          <w:sz w:val="24"/>
          <w:szCs w:val="24"/>
        </w:rPr>
        <w:t xml:space="preserve">Ministère de la Formation Professionnelle : Direction de la formation professionnelle </w:t>
      </w:r>
    </w:p>
    <w:p w14:paraId="06353B94" w14:textId="77777777" w:rsidR="0083496A" w:rsidRPr="00AB7F24" w:rsidRDefault="0083496A" w:rsidP="00AB7F24">
      <w:pPr>
        <w:pStyle w:val="ListParagraph"/>
        <w:numPr>
          <w:ilvl w:val="0"/>
          <w:numId w:val="36"/>
        </w:numPr>
        <w:spacing w:line="276" w:lineRule="auto"/>
        <w:jc w:val="both"/>
        <w:rPr>
          <w:rFonts w:asciiTheme="majorBidi" w:hAnsiTheme="majorBidi" w:cstheme="majorBidi"/>
          <w:sz w:val="24"/>
          <w:szCs w:val="24"/>
        </w:rPr>
      </w:pPr>
      <w:r w:rsidRPr="00AB7F24">
        <w:rPr>
          <w:rFonts w:asciiTheme="majorBidi" w:hAnsiTheme="majorBidi" w:cstheme="majorBidi"/>
          <w:sz w:val="24"/>
          <w:szCs w:val="24"/>
        </w:rPr>
        <w:t xml:space="preserve">Niveau opérationnel : la Société Mauritanienne d’Electricité (SOMELEC) représentée par la Direction du Transport </w:t>
      </w:r>
    </w:p>
    <w:p w14:paraId="433B4B4C" w14:textId="77777777" w:rsidR="0083496A" w:rsidRPr="00AB7F24" w:rsidRDefault="0083496A" w:rsidP="00AB7F24">
      <w:pPr>
        <w:pStyle w:val="ListParagraph"/>
        <w:numPr>
          <w:ilvl w:val="0"/>
          <w:numId w:val="36"/>
        </w:numPr>
        <w:spacing w:line="276" w:lineRule="auto"/>
        <w:jc w:val="both"/>
        <w:rPr>
          <w:rFonts w:asciiTheme="majorBidi" w:hAnsiTheme="majorBidi" w:cstheme="majorBidi"/>
          <w:sz w:val="24"/>
          <w:szCs w:val="24"/>
        </w:rPr>
      </w:pPr>
      <w:r w:rsidRPr="00AB7F24">
        <w:rPr>
          <w:rFonts w:asciiTheme="majorBidi" w:hAnsiTheme="majorBidi" w:cstheme="majorBidi"/>
          <w:sz w:val="24"/>
          <w:szCs w:val="24"/>
        </w:rPr>
        <w:t>Les acteurs académiques : l’’Université de Nouakchott Al Asriya représentée par la faculté de sciences à Nouakchott</w:t>
      </w:r>
    </w:p>
    <w:p w14:paraId="54C474BB" w14:textId="54856056" w:rsidR="0083496A" w:rsidRPr="00AB7F24" w:rsidRDefault="0083496A" w:rsidP="00AB7F24">
      <w:pPr>
        <w:pStyle w:val="ListParagraph"/>
        <w:numPr>
          <w:ilvl w:val="0"/>
          <w:numId w:val="36"/>
        </w:numPr>
        <w:spacing w:line="276" w:lineRule="auto"/>
        <w:jc w:val="both"/>
        <w:rPr>
          <w:rFonts w:asciiTheme="majorBidi" w:hAnsiTheme="majorBidi" w:cstheme="majorBidi"/>
          <w:sz w:val="24"/>
          <w:szCs w:val="24"/>
        </w:rPr>
      </w:pPr>
      <w:r w:rsidRPr="00AB7F24">
        <w:rPr>
          <w:rFonts w:asciiTheme="majorBidi" w:hAnsiTheme="majorBidi" w:cstheme="majorBidi"/>
          <w:sz w:val="24"/>
          <w:szCs w:val="24"/>
        </w:rPr>
        <w:t>La société civile : une ONG spécialisée dans la problématique environnementale</w:t>
      </w:r>
      <w:r w:rsidR="002F7613" w:rsidRPr="00AB7F24">
        <w:rPr>
          <w:rFonts w:asciiTheme="majorBidi" w:hAnsiTheme="majorBidi" w:cstheme="majorBidi"/>
          <w:sz w:val="24"/>
          <w:szCs w:val="24"/>
        </w:rPr>
        <w:t xml:space="preserve"> - Volunteer HUB Organization VOH </w:t>
      </w:r>
      <w:r w:rsidRPr="00AB7F24">
        <w:rPr>
          <w:rFonts w:asciiTheme="majorBidi" w:hAnsiTheme="majorBidi" w:cstheme="majorBidi"/>
          <w:sz w:val="24"/>
          <w:szCs w:val="24"/>
        </w:rPr>
        <w:t>.</w:t>
      </w:r>
    </w:p>
    <w:p w14:paraId="0FBF06C6" w14:textId="77777777" w:rsidR="0083496A" w:rsidRPr="00AB7F24" w:rsidRDefault="0083496A" w:rsidP="00AB7F24">
      <w:pPr>
        <w:spacing w:line="276" w:lineRule="auto"/>
        <w:jc w:val="both"/>
        <w:rPr>
          <w:rFonts w:asciiTheme="majorBidi" w:hAnsiTheme="majorBidi" w:cstheme="majorBidi"/>
          <w:sz w:val="24"/>
          <w:szCs w:val="24"/>
        </w:rPr>
      </w:pPr>
      <w:r w:rsidRPr="00AB7F24">
        <w:rPr>
          <w:rFonts w:asciiTheme="majorBidi" w:hAnsiTheme="majorBidi" w:cstheme="majorBidi"/>
          <w:sz w:val="24"/>
          <w:szCs w:val="24"/>
        </w:rPr>
        <w:t xml:space="preserve">La liste complète et le déroulement des travaux est présenté en annexe. </w:t>
      </w:r>
    </w:p>
    <w:p w14:paraId="2E738F6E" w14:textId="194EAF11" w:rsidR="0083496A" w:rsidRPr="00AB7F24" w:rsidRDefault="0083496A" w:rsidP="00AB7F24">
      <w:pPr>
        <w:spacing w:line="276" w:lineRule="auto"/>
        <w:jc w:val="both"/>
        <w:rPr>
          <w:rFonts w:asciiTheme="majorBidi" w:hAnsiTheme="majorBidi" w:cstheme="majorBidi"/>
          <w:sz w:val="24"/>
          <w:szCs w:val="24"/>
        </w:rPr>
      </w:pPr>
      <w:r w:rsidRPr="00AB7F24">
        <w:rPr>
          <w:rFonts w:asciiTheme="majorBidi" w:hAnsiTheme="majorBidi" w:cstheme="majorBidi"/>
          <w:sz w:val="24"/>
          <w:szCs w:val="24"/>
        </w:rPr>
        <w:t xml:space="preserve">  </w:t>
      </w:r>
      <w:r w:rsidR="0DFE8604" w:rsidRPr="00AB7F24">
        <w:rPr>
          <w:rFonts w:asciiTheme="majorBidi" w:hAnsiTheme="majorBidi" w:cstheme="majorBidi"/>
          <w:sz w:val="24"/>
          <w:szCs w:val="24"/>
        </w:rPr>
        <w:t>L</w:t>
      </w:r>
      <w:r w:rsidRPr="00AB7F24">
        <w:rPr>
          <w:rFonts w:asciiTheme="majorBidi" w:hAnsiTheme="majorBidi" w:cstheme="majorBidi"/>
          <w:sz w:val="24"/>
          <w:szCs w:val="24"/>
        </w:rPr>
        <w:t>es principaux résultats de cette réunion</w:t>
      </w:r>
      <w:r w:rsidR="0DCE8E54" w:rsidRPr="00AB7F24">
        <w:rPr>
          <w:rFonts w:asciiTheme="majorBidi" w:hAnsiTheme="majorBidi" w:cstheme="majorBidi"/>
          <w:sz w:val="24"/>
          <w:szCs w:val="24"/>
        </w:rPr>
        <w:t xml:space="preserve"> se présentent comme suit:</w:t>
      </w:r>
      <w:r w:rsidRPr="00AB7F24">
        <w:rPr>
          <w:rFonts w:asciiTheme="majorBidi" w:hAnsiTheme="majorBidi" w:cstheme="majorBidi"/>
          <w:sz w:val="24"/>
          <w:szCs w:val="24"/>
        </w:rPr>
        <w:t>:</w:t>
      </w:r>
    </w:p>
    <w:p w14:paraId="22523CF7" w14:textId="77777777" w:rsidR="0083496A" w:rsidRPr="00AB7F24" w:rsidRDefault="0083496A" w:rsidP="00AB7F24">
      <w:pPr>
        <w:pStyle w:val="ListParagraph"/>
        <w:numPr>
          <w:ilvl w:val="0"/>
          <w:numId w:val="39"/>
        </w:numPr>
        <w:spacing w:line="276" w:lineRule="auto"/>
        <w:jc w:val="both"/>
        <w:rPr>
          <w:rFonts w:asciiTheme="majorBidi" w:hAnsiTheme="majorBidi" w:cstheme="majorBidi"/>
          <w:sz w:val="24"/>
          <w:szCs w:val="24"/>
        </w:rPr>
      </w:pPr>
      <w:r w:rsidRPr="00AB7F24">
        <w:rPr>
          <w:rFonts w:asciiTheme="majorBidi" w:hAnsiTheme="majorBidi" w:cstheme="majorBidi"/>
          <w:sz w:val="24"/>
          <w:szCs w:val="24"/>
        </w:rPr>
        <w:t xml:space="preserve">Environnement </w:t>
      </w:r>
    </w:p>
    <w:p w14:paraId="47F98694" w14:textId="77777777" w:rsidR="0083496A" w:rsidRPr="00AB7F24" w:rsidRDefault="0083496A" w:rsidP="00AB7F24">
      <w:pPr>
        <w:pStyle w:val="ListParagraph"/>
        <w:numPr>
          <w:ilvl w:val="0"/>
          <w:numId w:val="38"/>
        </w:numPr>
        <w:spacing w:line="276" w:lineRule="auto"/>
        <w:jc w:val="both"/>
        <w:rPr>
          <w:rFonts w:asciiTheme="majorBidi" w:hAnsiTheme="majorBidi" w:cstheme="majorBidi"/>
          <w:sz w:val="24"/>
          <w:szCs w:val="24"/>
        </w:rPr>
      </w:pPr>
      <w:r w:rsidRPr="00AB7F24">
        <w:rPr>
          <w:rFonts w:asciiTheme="majorBidi" w:hAnsiTheme="majorBidi" w:cstheme="majorBidi"/>
          <w:sz w:val="24"/>
          <w:szCs w:val="24"/>
        </w:rPr>
        <w:t>Le représentant du Ministère de l’Environnement et du Développement Durable a précisé les priorités de son ministère dans les points suivants : le cadre législatif, institutionnel et réglementaire des exploitations et exploration des gaz et du pétrole, les évaluations environnementales et sociales, les évaluations  stratégiques, le suivi des installations et les rejets des dérivés de gaz et du pétrole dans l’environnement biophysique,   le contrôle des PGES, et le renforcement des capacités des équipes du ministère et notamment la Direction de l'Évaluation et du Contrôle Environnemental (DECE), un système d’information et de gestion environnementale générale dans le secteur d’exploitation et d’exploration du gaz et du pétrole, un système de monitoring des gaz a effet de serre fiable;</w:t>
      </w:r>
    </w:p>
    <w:p w14:paraId="4AACB41B" w14:textId="77777777" w:rsidR="0083496A" w:rsidRPr="00AB7F24" w:rsidRDefault="0083496A" w:rsidP="00AB7F24">
      <w:pPr>
        <w:pStyle w:val="ListParagraph"/>
        <w:spacing w:line="276" w:lineRule="auto"/>
        <w:ind w:left="1193"/>
        <w:jc w:val="both"/>
        <w:rPr>
          <w:rFonts w:asciiTheme="majorBidi" w:hAnsiTheme="majorBidi" w:cstheme="majorBidi"/>
          <w:sz w:val="24"/>
          <w:szCs w:val="24"/>
        </w:rPr>
      </w:pPr>
    </w:p>
    <w:p w14:paraId="5E864F91" w14:textId="77777777" w:rsidR="0083496A" w:rsidRPr="00AB7F24" w:rsidRDefault="0083496A" w:rsidP="00AB7F24">
      <w:pPr>
        <w:pStyle w:val="ListParagraph"/>
        <w:numPr>
          <w:ilvl w:val="0"/>
          <w:numId w:val="38"/>
        </w:numPr>
        <w:spacing w:line="276" w:lineRule="auto"/>
        <w:jc w:val="both"/>
        <w:rPr>
          <w:rFonts w:asciiTheme="majorBidi" w:hAnsiTheme="majorBidi" w:cstheme="majorBidi"/>
          <w:sz w:val="24"/>
          <w:szCs w:val="24"/>
        </w:rPr>
      </w:pPr>
      <w:r w:rsidRPr="00AB7F24">
        <w:rPr>
          <w:rFonts w:asciiTheme="majorBidi" w:hAnsiTheme="majorBidi" w:cstheme="majorBidi"/>
          <w:sz w:val="24"/>
          <w:szCs w:val="24"/>
        </w:rPr>
        <w:t xml:space="preserve">Le Directeur du Suivi Environnemental au sein de la Direction Générale du Pétrole et de l'Hydrogène bas carbone au Ministère de l’Energie et du Pétrole, Direction Générale de l’Electricité au Ministère du Pétrole et de l’Energie a précisé à son tour les attentes de sa Direction, notamment : </w:t>
      </w:r>
    </w:p>
    <w:p w14:paraId="61A74CC2" w14:textId="77777777" w:rsidR="0083496A" w:rsidRPr="00AB7F24" w:rsidRDefault="0083496A" w:rsidP="00AB7F24">
      <w:pPr>
        <w:pStyle w:val="ListParagraph"/>
        <w:numPr>
          <w:ilvl w:val="1"/>
          <w:numId w:val="38"/>
        </w:numPr>
        <w:spacing w:line="276" w:lineRule="auto"/>
        <w:jc w:val="both"/>
        <w:rPr>
          <w:rFonts w:asciiTheme="majorBidi" w:hAnsiTheme="majorBidi" w:cstheme="majorBidi"/>
          <w:sz w:val="24"/>
          <w:szCs w:val="24"/>
        </w:rPr>
      </w:pPr>
      <w:r w:rsidRPr="00AB7F24">
        <w:rPr>
          <w:rFonts w:asciiTheme="majorBidi" w:hAnsiTheme="majorBidi" w:cstheme="majorBidi"/>
          <w:sz w:val="24"/>
          <w:szCs w:val="24"/>
        </w:rPr>
        <w:t xml:space="preserve">Renforcement du cadre réglementaire sur le torchage, le dégazage et les émissions fugitives : (i) Compléter et mettre à jour le cadre règlementaire dans les domaines du torchage, le dégazage, le venting et les émissions </w:t>
      </w:r>
      <w:r w:rsidRPr="00AB7F24">
        <w:rPr>
          <w:rFonts w:asciiTheme="majorBidi" w:hAnsiTheme="majorBidi" w:cstheme="majorBidi"/>
          <w:sz w:val="24"/>
          <w:szCs w:val="24"/>
        </w:rPr>
        <w:lastRenderedPageBreak/>
        <w:t xml:space="preserve">fugitives (textes d’application du code des hydrocarbures) ; (ii) L'élaboration d'un Guide national de gestion du torchage, du venting et des émissions associées, incluant notamment : les procédures d'autorisation, les obligations de notification, les méthodes de quantification, les exigences de reporting, les modalités de vérification et les mécanismes de suivi et de contrôle par l'administration ; (iii) L'intégration d'exigences techniques relatives aux émissions fugitives : plans de gestion des émissions, détection et réparation des fuites (LDAR), suivi de l'efficacité des torchères, calibration des instruments, tenue des registres, certification et vérification indépendante des données. </w:t>
      </w:r>
    </w:p>
    <w:p w14:paraId="6A389B92" w14:textId="77777777" w:rsidR="0083496A" w:rsidRPr="00AB7F24" w:rsidRDefault="0083496A" w:rsidP="00AB7F24">
      <w:pPr>
        <w:pStyle w:val="ListParagraph"/>
        <w:numPr>
          <w:ilvl w:val="1"/>
          <w:numId w:val="38"/>
        </w:numPr>
        <w:spacing w:line="276" w:lineRule="auto"/>
        <w:jc w:val="both"/>
        <w:rPr>
          <w:rFonts w:asciiTheme="majorBidi" w:hAnsiTheme="majorBidi" w:cstheme="majorBidi"/>
          <w:sz w:val="24"/>
          <w:szCs w:val="24"/>
        </w:rPr>
      </w:pPr>
      <w:r w:rsidRPr="00AB7F24">
        <w:rPr>
          <w:rFonts w:asciiTheme="majorBidi" w:hAnsiTheme="majorBidi" w:cstheme="majorBidi"/>
          <w:sz w:val="24"/>
          <w:szCs w:val="24"/>
        </w:rPr>
        <w:t>Développement d'un Système d'Information de Gestion Environnementale (SIGE) pour centraliser, structurer, cartographier et exploiter les données environnementales du secteur des hydrocarbures</w:t>
      </w:r>
    </w:p>
    <w:p w14:paraId="18B51BDD" w14:textId="77777777" w:rsidR="0083496A" w:rsidRPr="00AB7F24" w:rsidRDefault="0083496A" w:rsidP="00AB7F24">
      <w:pPr>
        <w:pStyle w:val="ListParagraph"/>
        <w:numPr>
          <w:ilvl w:val="1"/>
          <w:numId w:val="38"/>
        </w:numPr>
        <w:spacing w:line="276" w:lineRule="auto"/>
        <w:jc w:val="both"/>
        <w:rPr>
          <w:rFonts w:asciiTheme="majorBidi" w:hAnsiTheme="majorBidi" w:cstheme="majorBidi"/>
          <w:sz w:val="24"/>
          <w:szCs w:val="24"/>
        </w:rPr>
      </w:pPr>
      <w:r w:rsidRPr="00AB7F24">
        <w:rPr>
          <w:rFonts w:asciiTheme="majorBidi" w:hAnsiTheme="majorBidi" w:cstheme="majorBidi"/>
          <w:sz w:val="24"/>
          <w:szCs w:val="24"/>
        </w:rPr>
        <w:t>Assistance technique pour la mise en œuvre des recommandations issues de la stratégie de décarbonation et des évaluations environnementales et sociales stratégiques du secteur des hydrocarbures en Mauritanie.</w:t>
      </w:r>
    </w:p>
    <w:p w14:paraId="296C1324" w14:textId="792C4996" w:rsidR="25C4DDBF" w:rsidRPr="00AB7F24" w:rsidRDefault="25C4DDBF" w:rsidP="00AB7F24">
      <w:pPr>
        <w:pStyle w:val="ListParagraph"/>
        <w:spacing w:line="276" w:lineRule="auto"/>
        <w:ind w:left="1913"/>
        <w:jc w:val="both"/>
        <w:rPr>
          <w:rFonts w:asciiTheme="majorBidi" w:hAnsiTheme="majorBidi" w:cstheme="majorBidi"/>
          <w:sz w:val="24"/>
          <w:szCs w:val="24"/>
        </w:rPr>
      </w:pPr>
    </w:p>
    <w:p w14:paraId="76FAAF5E" w14:textId="77777777" w:rsidR="0083496A" w:rsidRPr="00AB7F24" w:rsidRDefault="0083496A" w:rsidP="00AB7F24">
      <w:pPr>
        <w:pStyle w:val="ListParagraph"/>
        <w:numPr>
          <w:ilvl w:val="0"/>
          <w:numId w:val="39"/>
        </w:numPr>
        <w:spacing w:line="276" w:lineRule="auto"/>
        <w:jc w:val="both"/>
        <w:rPr>
          <w:rFonts w:asciiTheme="majorBidi" w:hAnsiTheme="majorBidi" w:cstheme="majorBidi"/>
          <w:b/>
          <w:bCs/>
          <w:sz w:val="24"/>
          <w:szCs w:val="24"/>
        </w:rPr>
      </w:pPr>
      <w:r w:rsidRPr="00AB7F24">
        <w:rPr>
          <w:rFonts w:asciiTheme="majorBidi" w:hAnsiTheme="majorBidi" w:cstheme="majorBidi"/>
          <w:b/>
          <w:bCs/>
          <w:sz w:val="24"/>
          <w:szCs w:val="24"/>
        </w:rPr>
        <w:t>Au niveau de la formation professionnelle</w:t>
      </w:r>
    </w:p>
    <w:p w14:paraId="096C65BD" w14:textId="71508F05" w:rsidR="0083496A" w:rsidRPr="00AB7F24" w:rsidRDefault="0083496A" w:rsidP="00AB7F24">
      <w:pPr>
        <w:spacing w:line="276" w:lineRule="auto"/>
        <w:jc w:val="both"/>
        <w:rPr>
          <w:rFonts w:asciiTheme="majorBidi" w:hAnsiTheme="majorBidi" w:cstheme="majorBidi"/>
          <w:sz w:val="24"/>
          <w:szCs w:val="24"/>
        </w:rPr>
      </w:pPr>
      <w:r w:rsidRPr="00AB7F24">
        <w:rPr>
          <w:rFonts w:asciiTheme="majorBidi" w:hAnsiTheme="majorBidi" w:cstheme="majorBidi"/>
          <w:sz w:val="24"/>
          <w:szCs w:val="24"/>
        </w:rPr>
        <w:t xml:space="preserve">  Le Directeur de la Formation à la Direction Générale de la Formation Technique et Professionnelle au Ministère de la Formation professionnelle, de l’Artisanat et des Métiers a souligné l’importance de la formation professionnelle dans le secteur gazier et a précisé les segments de formation nécessitant des appuis de nouveau projet afin de mettre sur le marché des techniciens qualifiés pour répondre aux besoins de l’industrie du secteur extractif : formations qualifiantes, les BTS, les Certificats de Compétences et ceci dans les domaines des curricula et des programmes, de la formation des formateurs, la certification et les équipements pédagogiques, l’accueil des stagiaires et l’appui aux élèves durant cette période de leur cursus et en particulier aux élèves issus des classes défavorisées et aux jeunes filles</w:t>
      </w:r>
    </w:p>
    <w:p w14:paraId="1E87AED2" w14:textId="77777777" w:rsidR="0083496A" w:rsidRPr="00AB7F24" w:rsidRDefault="0083496A" w:rsidP="00AB7F24">
      <w:pPr>
        <w:pStyle w:val="ListParagraph"/>
        <w:numPr>
          <w:ilvl w:val="0"/>
          <w:numId w:val="39"/>
        </w:numPr>
        <w:spacing w:line="276" w:lineRule="auto"/>
        <w:jc w:val="both"/>
        <w:rPr>
          <w:rFonts w:asciiTheme="majorBidi" w:hAnsiTheme="majorBidi" w:cstheme="majorBidi"/>
          <w:b/>
          <w:bCs/>
          <w:sz w:val="24"/>
          <w:szCs w:val="24"/>
        </w:rPr>
      </w:pPr>
      <w:r w:rsidRPr="00AB7F24">
        <w:rPr>
          <w:rFonts w:asciiTheme="majorBidi" w:hAnsiTheme="majorBidi" w:cstheme="majorBidi"/>
          <w:b/>
          <w:bCs/>
          <w:sz w:val="24"/>
          <w:szCs w:val="24"/>
        </w:rPr>
        <w:t>Secteur académique</w:t>
      </w:r>
    </w:p>
    <w:p w14:paraId="564A79BE" w14:textId="77777777" w:rsidR="0083496A" w:rsidRPr="00AB7F24" w:rsidRDefault="0083496A" w:rsidP="00AB7F24">
      <w:pPr>
        <w:pStyle w:val="ListParagraph"/>
        <w:spacing w:line="276" w:lineRule="auto"/>
        <w:jc w:val="both"/>
        <w:rPr>
          <w:rFonts w:asciiTheme="majorBidi" w:hAnsiTheme="majorBidi" w:cstheme="majorBidi"/>
          <w:sz w:val="24"/>
          <w:szCs w:val="24"/>
        </w:rPr>
      </w:pPr>
    </w:p>
    <w:p w14:paraId="022D447F" w14:textId="77777777" w:rsidR="0083496A" w:rsidRPr="00AB7F24" w:rsidRDefault="0083496A" w:rsidP="00AB7F24">
      <w:pPr>
        <w:pStyle w:val="ListParagraph"/>
        <w:spacing w:line="276" w:lineRule="auto"/>
        <w:jc w:val="both"/>
        <w:rPr>
          <w:rFonts w:asciiTheme="majorBidi" w:hAnsiTheme="majorBidi" w:cstheme="majorBidi"/>
          <w:sz w:val="24"/>
          <w:szCs w:val="24"/>
        </w:rPr>
      </w:pPr>
      <w:r w:rsidRPr="00AB7F24">
        <w:rPr>
          <w:rFonts w:asciiTheme="majorBidi" w:hAnsiTheme="majorBidi" w:cstheme="majorBidi"/>
          <w:sz w:val="24"/>
          <w:szCs w:val="24"/>
        </w:rPr>
        <w:t>Le Vice-Doyen de la Faculté des Sciences à l’Université de Nouakchott a lui aussi demandé un appui pour doter les établissements de formation de compétences, d’équipements et de programmes adaptés aux besoins du marché, afin de former des jeunes cadres qualifiés dans les secteurs des pétrole, gaz et énergies renouvelables, notamment :</w:t>
      </w:r>
    </w:p>
    <w:p w14:paraId="1DA960C7" w14:textId="77777777" w:rsidR="0083496A" w:rsidRPr="00AB7F24" w:rsidRDefault="0083496A" w:rsidP="00AB7F24">
      <w:pPr>
        <w:pStyle w:val="ListParagraph"/>
        <w:numPr>
          <w:ilvl w:val="1"/>
          <w:numId w:val="39"/>
        </w:numPr>
        <w:shd w:val="clear" w:color="auto" w:fill="FFFFFF"/>
        <w:spacing w:after="0" w:line="276" w:lineRule="auto"/>
        <w:jc w:val="both"/>
        <w:rPr>
          <w:rFonts w:asciiTheme="majorBidi" w:hAnsiTheme="majorBidi" w:cstheme="majorBidi"/>
          <w:sz w:val="24"/>
          <w:szCs w:val="24"/>
        </w:rPr>
      </w:pPr>
      <w:r w:rsidRPr="00AB7F24">
        <w:rPr>
          <w:rFonts w:asciiTheme="majorBidi" w:hAnsiTheme="majorBidi" w:cstheme="majorBidi"/>
          <w:sz w:val="24"/>
          <w:szCs w:val="24"/>
        </w:rPr>
        <w:t>Renforcement des capacités : formation des personnels académiques et des techniciens</w:t>
      </w:r>
    </w:p>
    <w:p w14:paraId="05F28552" w14:textId="77777777" w:rsidR="0083496A" w:rsidRPr="00AB7F24" w:rsidRDefault="0083496A" w:rsidP="00AB7F24">
      <w:pPr>
        <w:pStyle w:val="ListParagraph"/>
        <w:numPr>
          <w:ilvl w:val="1"/>
          <w:numId w:val="39"/>
        </w:numPr>
        <w:shd w:val="clear" w:color="auto" w:fill="FFFFFF"/>
        <w:spacing w:after="0" w:line="276" w:lineRule="auto"/>
        <w:jc w:val="both"/>
        <w:rPr>
          <w:rFonts w:asciiTheme="majorBidi" w:hAnsiTheme="majorBidi" w:cstheme="majorBidi"/>
          <w:sz w:val="24"/>
          <w:szCs w:val="24"/>
        </w:rPr>
      </w:pPr>
      <w:r w:rsidRPr="00AB7F24">
        <w:rPr>
          <w:rFonts w:asciiTheme="majorBidi" w:hAnsiTheme="majorBidi" w:cstheme="majorBidi"/>
          <w:sz w:val="24"/>
          <w:szCs w:val="24"/>
        </w:rPr>
        <w:t>Création d’un laboratoire de travaux pratiques pour la filière Ingénierie pétrole et gaz, accompagné de l’acquisition de logiciels professionnels de formation tels que Petrel, Landmark, Geomodelar, etc. </w:t>
      </w:r>
    </w:p>
    <w:p w14:paraId="43F148CC" w14:textId="77777777" w:rsidR="0083496A" w:rsidRPr="00AB7F24" w:rsidRDefault="0083496A" w:rsidP="00AB7F24">
      <w:pPr>
        <w:pStyle w:val="ListParagraph"/>
        <w:numPr>
          <w:ilvl w:val="1"/>
          <w:numId w:val="39"/>
        </w:numPr>
        <w:shd w:val="clear" w:color="auto" w:fill="FFFFFF"/>
        <w:spacing w:after="0" w:line="276" w:lineRule="auto"/>
        <w:jc w:val="both"/>
        <w:rPr>
          <w:rFonts w:asciiTheme="majorBidi" w:hAnsiTheme="majorBidi" w:cstheme="majorBidi"/>
          <w:sz w:val="24"/>
          <w:szCs w:val="24"/>
        </w:rPr>
      </w:pPr>
      <w:r w:rsidRPr="00AB7F24">
        <w:rPr>
          <w:rFonts w:asciiTheme="majorBidi" w:hAnsiTheme="majorBidi" w:cstheme="majorBidi"/>
          <w:sz w:val="24"/>
          <w:szCs w:val="24"/>
        </w:rPr>
        <w:t>Développement de l’offre de formation : accompagnement pour la création d’un Master professionnel en ingénierie pétrole et gaz, ainsi que d’une nouvelle filière professionnelle dans le domaine de l’exploitation du pétrole et du gaz (industrie pétrolière et gazière). </w:t>
      </w:r>
    </w:p>
    <w:p w14:paraId="1BBB0240" w14:textId="708735A9" w:rsidR="0083496A" w:rsidRDefault="0083496A" w:rsidP="00AB7F24">
      <w:pPr>
        <w:pStyle w:val="ListParagraph"/>
        <w:numPr>
          <w:ilvl w:val="1"/>
          <w:numId w:val="39"/>
        </w:numPr>
        <w:shd w:val="clear" w:color="auto" w:fill="FFFFFF"/>
        <w:spacing w:after="0" w:line="276" w:lineRule="auto"/>
        <w:jc w:val="both"/>
        <w:rPr>
          <w:rFonts w:asciiTheme="majorBidi" w:eastAsia="Times New Roman" w:hAnsiTheme="majorBidi" w:cstheme="majorBidi"/>
          <w:color w:val="222222"/>
          <w:sz w:val="24"/>
          <w:szCs w:val="24"/>
          <w:lang w:eastAsia="fr-FR"/>
        </w:rPr>
      </w:pPr>
      <w:r w:rsidRPr="00AB7F24">
        <w:rPr>
          <w:rFonts w:asciiTheme="majorBidi" w:hAnsiTheme="majorBidi" w:cstheme="majorBidi"/>
          <w:sz w:val="24"/>
          <w:szCs w:val="24"/>
        </w:rPr>
        <w:lastRenderedPageBreak/>
        <w:t>Renforcement de la filière TSER (Technologie des Systèmes des Entreprises Renouvelables) : acquisition de panneaux solaires, d’instruments de mesure et de logiciels simulateurs</w:t>
      </w:r>
      <w:r w:rsidRPr="00AB7F24">
        <w:rPr>
          <w:rFonts w:asciiTheme="majorBidi" w:eastAsia="Times New Roman" w:hAnsiTheme="majorBidi" w:cstheme="majorBidi"/>
          <w:color w:val="222222"/>
          <w:sz w:val="24"/>
          <w:szCs w:val="24"/>
          <w:lang w:eastAsia="fr-FR"/>
        </w:rPr>
        <w:t>.</w:t>
      </w:r>
    </w:p>
    <w:p w14:paraId="5C054D6F" w14:textId="77777777" w:rsidR="00AB7F24" w:rsidRPr="00AB7F24" w:rsidRDefault="00AB7F24" w:rsidP="00AB7F24">
      <w:pPr>
        <w:pStyle w:val="ListParagraph"/>
        <w:shd w:val="clear" w:color="auto" w:fill="FFFFFF"/>
        <w:spacing w:after="0" w:line="276" w:lineRule="auto"/>
        <w:ind w:left="1440"/>
        <w:jc w:val="both"/>
        <w:rPr>
          <w:rFonts w:asciiTheme="majorBidi" w:eastAsia="Times New Roman" w:hAnsiTheme="majorBidi" w:cstheme="majorBidi"/>
          <w:color w:val="222222"/>
          <w:sz w:val="24"/>
          <w:szCs w:val="24"/>
          <w:lang w:eastAsia="fr-FR"/>
        </w:rPr>
      </w:pPr>
    </w:p>
    <w:p w14:paraId="70520420" w14:textId="77777777" w:rsidR="0083496A" w:rsidRPr="00AB7F24" w:rsidRDefault="0083496A" w:rsidP="00AB7F24">
      <w:pPr>
        <w:pStyle w:val="ListParagraph"/>
        <w:numPr>
          <w:ilvl w:val="0"/>
          <w:numId w:val="39"/>
        </w:numPr>
        <w:spacing w:line="276" w:lineRule="auto"/>
        <w:jc w:val="both"/>
        <w:rPr>
          <w:rFonts w:asciiTheme="majorBidi" w:hAnsiTheme="majorBidi" w:cstheme="majorBidi"/>
          <w:sz w:val="24"/>
          <w:szCs w:val="24"/>
        </w:rPr>
      </w:pPr>
      <w:r w:rsidRPr="00AB7F24">
        <w:rPr>
          <w:rFonts w:asciiTheme="majorBidi" w:hAnsiTheme="majorBidi" w:cstheme="majorBidi"/>
          <w:sz w:val="24"/>
          <w:szCs w:val="24"/>
        </w:rPr>
        <w:t xml:space="preserve">La Société mauritanienne d’électricité (SOMELEC) </w:t>
      </w:r>
    </w:p>
    <w:p w14:paraId="15752648" w14:textId="77777777" w:rsidR="0083496A" w:rsidRPr="00AB7F24" w:rsidRDefault="0083496A" w:rsidP="00AB7F24">
      <w:pPr>
        <w:spacing w:line="276" w:lineRule="auto"/>
        <w:jc w:val="both"/>
        <w:rPr>
          <w:rFonts w:asciiTheme="majorBidi" w:hAnsiTheme="majorBidi" w:cstheme="majorBidi"/>
          <w:sz w:val="24"/>
          <w:szCs w:val="24"/>
        </w:rPr>
      </w:pPr>
      <w:r w:rsidRPr="00AB7F24">
        <w:rPr>
          <w:rFonts w:asciiTheme="majorBidi" w:hAnsiTheme="majorBidi" w:cstheme="majorBidi"/>
          <w:sz w:val="24"/>
          <w:szCs w:val="24"/>
        </w:rPr>
        <w:t>La SOMELEC</w:t>
      </w:r>
      <w:r w:rsidRPr="00AB7F24">
        <w:rPr>
          <w:rFonts w:asciiTheme="majorBidi" w:hAnsiTheme="majorBidi" w:cstheme="majorBidi"/>
          <w:b/>
          <w:bCs/>
          <w:sz w:val="24"/>
          <w:szCs w:val="24"/>
        </w:rPr>
        <w:t xml:space="preserve"> a</w:t>
      </w:r>
      <w:r w:rsidRPr="00AB7F24">
        <w:rPr>
          <w:rFonts w:asciiTheme="majorBidi" w:hAnsiTheme="majorBidi" w:cstheme="majorBidi"/>
          <w:sz w:val="24"/>
          <w:szCs w:val="24"/>
        </w:rPr>
        <w:t xml:space="preserve"> grandement besoin des équipements pour la surveillance des lignes électriques par le biais des drones, des logiciels modernes d’exploitation, de maintenance des équipements, de renforcement avec des ressources humaines :</w:t>
      </w:r>
    </w:p>
    <w:p w14:paraId="4A4A45F0" w14:textId="77777777" w:rsidR="0083496A" w:rsidRPr="00AB7F24" w:rsidRDefault="0083496A" w:rsidP="00AB7F24">
      <w:pPr>
        <w:pStyle w:val="ListParagraph"/>
        <w:numPr>
          <w:ilvl w:val="1"/>
          <w:numId w:val="38"/>
        </w:numPr>
        <w:shd w:val="clear" w:color="auto" w:fill="FFFFFF"/>
        <w:spacing w:after="0" w:line="276" w:lineRule="auto"/>
        <w:jc w:val="both"/>
        <w:rPr>
          <w:rFonts w:asciiTheme="majorBidi" w:hAnsiTheme="majorBidi" w:cstheme="majorBidi"/>
          <w:sz w:val="24"/>
          <w:szCs w:val="24"/>
        </w:rPr>
      </w:pPr>
      <w:r w:rsidRPr="00AB7F24">
        <w:rPr>
          <w:rFonts w:asciiTheme="majorBidi" w:hAnsiTheme="majorBidi" w:cstheme="majorBidi"/>
          <w:sz w:val="24"/>
          <w:szCs w:val="24"/>
        </w:rPr>
        <w:t>Amélioration de la disponibilité et de la fiabilité du réseau de transport HT.</w:t>
      </w:r>
    </w:p>
    <w:p w14:paraId="1E69E15B" w14:textId="77777777" w:rsidR="0083496A" w:rsidRPr="00AB7F24" w:rsidRDefault="0083496A" w:rsidP="00AB7F24">
      <w:pPr>
        <w:pStyle w:val="ListParagraph"/>
        <w:numPr>
          <w:ilvl w:val="0"/>
          <w:numId w:val="40"/>
        </w:numPr>
        <w:spacing w:after="80" w:line="276" w:lineRule="auto"/>
        <w:contextualSpacing w:val="0"/>
        <w:jc w:val="both"/>
        <w:rPr>
          <w:rFonts w:asciiTheme="majorBidi" w:hAnsiTheme="majorBidi" w:cstheme="majorBidi"/>
          <w:sz w:val="24"/>
          <w:szCs w:val="24"/>
        </w:rPr>
      </w:pPr>
      <w:r w:rsidRPr="00AB7F24">
        <w:rPr>
          <w:rFonts w:asciiTheme="majorBidi" w:hAnsiTheme="majorBidi" w:cstheme="majorBidi"/>
          <w:sz w:val="24"/>
          <w:szCs w:val="24"/>
        </w:rPr>
        <w:t>Réseau audité, dont la tenue au critère N-1 et aux courants de court-circuit est vérifiée, et plan de protection coordonné</w:t>
      </w:r>
    </w:p>
    <w:p w14:paraId="5EF71961" w14:textId="77777777" w:rsidR="0083496A" w:rsidRPr="00AB7F24" w:rsidRDefault="0083496A" w:rsidP="00AB7F24">
      <w:pPr>
        <w:pStyle w:val="ListParagraph"/>
        <w:numPr>
          <w:ilvl w:val="0"/>
          <w:numId w:val="40"/>
        </w:numPr>
        <w:spacing w:after="80" w:line="276" w:lineRule="auto"/>
        <w:contextualSpacing w:val="0"/>
        <w:jc w:val="both"/>
        <w:rPr>
          <w:rFonts w:asciiTheme="majorBidi" w:hAnsiTheme="majorBidi" w:cstheme="majorBidi"/>
          <w:sz w:val="24"/>
          <w:szCs w:val="24"/>
        </w:rPr>
      </w:pPr>
      <w:r w:rsidRPr="00AB7F24">
        <w:rPr>
          <w:rFonts w:asciiTheme="majorBidi" w:hAnsiTheme="majorBidi" w:cstheme="majorBidi"/>
          <w:sz w:val="24"/>
          <w:szCs w:val="24"/>
        </w:rPr>
        <w:t>Réduction des délais d’intervention et des durées d’indisponibilité des ouvrages.</w:t>
      </w:r>
    </w:p>
    <w:p w14:paraId="4895765B" w14:textId="77777777" w:rsidR="0083496A" w:rsidRPr="00AB7F24" w:rsidRDefault="0083496A" w:rsidP="00AB7F24">
      <w:pPr>
        <w:pStyle w:val="ListParagraph"/>
        <w:numPr>
          <w:ilvl w:val="0"/>
          <w:numId w:val="40"/>
        </w:numPr>
        <w:spacing w:after="80" w:line="276" w:lineRule="auto"/>
        <w:contextualSpacing w:val="0"/>
        <w:jc w:val="both"/>
        <w:rPr>
          <w:rFonts w:asciiTheme="majorBidi" w:hAnsiTheme="majorBidi" w:cstheme="majorBidi"/>
          <w:sz w:val="24"/>
          <w:szCs w:val="24"/>
        </w:rPr>
      </w:pPr>
      <w:r w:rsidRPr="00AB7F24">
        <w:rPr>
          <w:rFonts w:asciiTheme="majorBidi" w:hAnsiTheme="majorBidi" w:cstheme="majorBidi"/>
          <w:sz w:val="24"/>
          <w:szCs w:val="24"/>
        </w:rPr>
        <w:t>Augmentation des capacités de transformation et de la flexibilité d’exploitation des postes concernés.</w:t>
      </w:r>
    </w:p>
    <w:p w14:paraId="28EA4BEA" w14:textId="77777777" w:rsidR="0083496A" w:rsidRPr="00AB7F24" w:rsidRDefault="0083496A" w:rsidP="00AB7F24">
      <w:pPr>
        <w:pStyle w:val="ListParagraph"/>
        <w:numPr>
          <w:ilvl w:val="0"/>
          <w:numId w:val="40"/>
        </w:numPr>
        <w:spacing w:after="80" w:line="276" w:lineRule="auto"/>
        <w:contextualSpacing w:val="0"/>
        <w:jc w:val="both"/>
        <w:rPr>
          <w:rFonts w:asciiTheme="majorBidi" w:hAnsiTheme="majorBidi" w:cstheme="majorBidi"/>
          <w:sz w:val="24"/>
          <w:szCs w:val="24"/>
        </w:rPr>
      </w:pPr>
      <w:r w:rsidRPr="00AB7F24">
        <w:rPr>
          <w:rFonts w:asciiTheme="majorBidi" w:hAnsiTheme="majorBidi" w:cstheme="majorBidi"/>
          <w:sz w:val="24"/>
          <w:szCs w:val="24"/>
        </w:rPr>
        <w:t>Amélioration de la sécurité du personnel et des installations.</w:t>
      </w:r>
    </w:p>
    <w:p w14:paraId="3F6F1518" w14:textId="77777777" w:rsidR="0083496A" w:rsidRPr="00AB7F24" w:rsidRDefault="0083496A" w:rsidP="00AB7F24">
      <w:pPr>
        <w:pStyle w:val="ListParagraph"/>
        <w:numPr>
          <w:ilvl w:val="0"/>
          <w:numId w:val="40"/>
        </w:numPr>
        <w:spacing w:after="80" w:line="276" w:lineRule="auto"/>
        <w:contextualSpacing w:val="0"/>
        <w:jc w:val="both"/>
        <w:rPr>
          <w:rFonts w:asciiTheme="majorBidi" w:hAnsiTheme="majorBidi" w:cstheme="majorBidi"/>
          <w:sz w:val="24"/>
          <w:szCs w:val="24"/>
        </w:rPr>
      </w:pPr>
      <w:r w:rsidRPr="00AB7F24">
        <w:rPr>
          <w:rFonts w:asciiTheme="majorBidi" w:hAnsiTheme="majorBidi" w:cstheme="majorBidi"/>
          <w:sz w:val="24"/>
          <w:szCs w:val="24"/>
        </w:rPr>
        <w:t>Conduite du réseau plus réactive et mieux coordonnée à l’échelle nationale.</w:t>
      </w:r>
    </w:p>
    <w:p w14:paraId="2388FF54" w14:textId="77777777" w:rsidR="0083496A" w:rsidRPr="00AB7F24" w:rsidRDefault="0083496A" w:rsidP="00AB7F24">
      <w:pPr>
        <w:pStyle w:val="ListParagraph"/>
        <w:numPr>
          <w:ilvl w:val="0"/>
          <w:numId w:val="41"/>
        </w:numPr>
        <w:spacing w:line="276" w:lineRule="auto"/>
        <w:jc w:val="both"/>
        <w:rPr>
          <w:rFonts w:asciiTheme="majorBidi" w:hAnsiTheme="majorBidi" w:cstheme="majorBidi"/>
          <w:sz w:val="24"/>
          <w:szCs w:val="24"/>
        </w:rPr>
      </w:pPr>
      <w:r w:rsidRPr="00AB7F24">
        <w:rPr>
          <w:rFonts w:asciiTheme="majorBidi" w:hAnsiTheme="majorBidi" w:cstheme="majorBidi"/>
          <w:sz w:val="24"/>
          <w:szCs w:val="24"/>
        </w:rPr>
        <w:t xml:space="preserve">La société civile </w:t>
      </w:r>
    </w:p>
    <w:p w14:paraId="0452CCAD" w14:textId="68606416" w:rsidR="0083496A" w:rsidRPr="00AB7F24" w:rsidRDefault="0083496A" w:rsidP="00AB7F24">
      <w:pPr>
        <w:spacing w:line="276" w:lineRule="auto"/>
        <w:ind w:left="360"/>
        <w:jc w:val="both"/>
        <w:rPr>
          <w:rFonts w:asciiTheme="majorBidi" w:hAnsiTheme="majorBidi" w:cstheme="majorBidi"/>
          <w:sz w:val="24"/>
          <w:szCs w:val="24"/>
        </w:rPr>
      </w:pPr>
      <w:r w:rsidRPr="00AB7F24">
        <w:rPr>
          <w:rFonts w:asciiTheme="majorBidi" w:hAnsiTheme="majorBidi" w:cstheme="majorBidi"/>
          <w:sz w:val="24"/>
          <w:szCs w:val="24"/>
        </w:rPr>
        <w:t>Elle était représentée par l’ONG « Volunteer HUB Organization VOH » en identifiant l’importance du renforcement des capacités des jeunes, des femmes et de la société civile dans le secteur gazier.</w:t>
      </w:r>
    </w:p>
    <w:p w14:paraId="6DD8A9D0" w14:textId="27648D42" w:rsidR="0083496A" w:rsidRPr="00AB7F24" w:rsidRDefault="0083496A" w:rsidP="00AB7F24">
      <w:pPr>
        <w:spacing w:line="276" w:lineRule="auto"/>
        <w:jc w:val="both"/>
        <w:rPr>
          <w:rFonts w:asciiTheme="majorBidi" w:hAnsiTheme="majorBidi" w:cstheme="majorBidi"/>
          <w:sz w:val="24"/>
          <w:szCs w:val="24"/>
        </w:rPr>
      </w:pPr>
      <w:r w:rsidRPr="00AB7F24">
        <w:rPr>
          <w:rFonts w:asciiTheme="majorBidi" w:hAnsiTheme="majorBidi" w:cstheme="majorBidi"/>
          <w:sz w:val="24"/>
          <w:szCs w:val="24"/>
        </w:rPr>
        <w:t xml:space="preserve">Une mention spéciale a été faite par l’assistance pour le renforcement des capacités d’une manière générale dans le secteur. </w:t>
      </w:r>
    </w:p>
    <w:p w14:paraId="2BF783BB" w14:textId="77777777" w:rsidR="0083496A" w:rsidRPr="00AB7F24" w:rsidRDefault="0083496A" w:rsidP="00AB7F24">
      <w:pPr>
        <w:pStyle w:val="ListParagraph"/>
        <w:numPr>
          <w:ilvl w:val="0"/>
          <w:numId w:val="41"/>
        </w:numPr>
        <w:spacing w:line="276" w:lineRule="auto"/>
        <w:jc w:val="both"/>
        <w:rPr>
          <w:rFonts w:asciiTheme="majorBidi" w:hAnsiTheme="majorBidi" w:cstheme="majorBidi"/>
          <w:sz w:val="24"/>
          <w:szCs w:val="24"/>
        </w:rPr>
      </w:pPr>
      <w:r w:rsidRPr="00AB7F24">
        <w:rPr>
          <w:rFonts w:asciiTheme="majorBidi" w:hAnsiTheme="majorBidi" w:cstheme="majorBidi"/>
          <w:sz w:val="24"/>
          <w:szCs w:val="24"/>
        </w:rPr>
        <w:t xml:space="preserve">Réponses des organisateurs </w:t>
      </w:r>
    </w:p>
    <w:p w14:paraId="51855774" w14:textId="77777777" w:rsidR="0083496A" w:rsidRPr="00AB7F24" w:rsidRDefault="0083496A" w:rsidP="00AB7F24">
      <w:pPr>
        <w:spacing w:line="276" w:lineRule="auto"/>
        <w:jc w:val="both"/>
        <w:rPr>
          <w:rFonts w:asciiTheme="majorBidi" w:hAnsiTheme="majorBidi" w:cstheme="majorBidi"/>
          <w:sz w:val="24"/>
          <w:szCs w:val="24"/>
        </w:rPr>
      </w:pPr>
      <w:r w:rsidRPr="00AB7F24">
        <w:rPr>
          <w:rFonts w:asciiTheme="majorBidi" w:hAnsiTheme="majorBidi" w:cstheme="majorBidi"/>
          <w:sz w:val="24"/>
          <w:szCs w:val="24"/>
        </w:rPr>
        <w:t xml:space="preserve">Les représentants des deux unités de gestion du projet ont rassuré la bonne prise des notes des préoccupations soulevées et rassurer de la continuité des consultations durant toute la vie du projet.               </w:t>
      </w:r>
    </w:p>
    <w:p w14:paraId="0378D1AA" w14:textId="665F53AD" w:rsidR="0083496A" w:rsidRPr="00AB7F24" w:rsidRDefault="0083496A" w:rsidP="00AB7F24">
      <w:pPr>
        <w:spacing w:line="276" w:lineRule="auto"/>
        <w:jc w:val="both"/>
        <w:rPr>
          <w:rFonts w:asciiTheme="majorBidi" w:hAnsiTheme="majorBidi" w:cstheme="majorBidi"/>
          <w:sz w:val="24"/>
          <w:szCs w:val="24"/>
        </w:rPr>
      </w:pPr>
      <w:r w:rsidRPr="00AB7F24">
        <w:rPr>
          <w:rFonts w:asciiTheme="majorBidi" w:hAnsiTheme="majorBidi" w:cstheme="majorBidi"/>
          <w:sz w:val="24"/>
          <w:szCs w:val="24"/>
        </w:rPr>
        <w:t xml:space="preserve">Les besoins en renforcement de capacités et de mise à niveau </w:t>
      </w:r>
      <w:r w:rsidR="2D50158D" w:rsidRPr="00AB7F24">
        <w:rPr>
          <w:rFonts w:asciiTheme="majorBidi" w:hAnsiTheme="majorBidi" w:cstheme="majorBidi"/>
          <w:sz w:val="24"/>
          <w:szCs w:val="24"/>
        </w:rPr>
        <w:t xml:space="preserve">du personnel de la DECE et du MEP en termes </w:t>
      </w:r>
      <w:r w:rsidRPr="00AB7F24">
        <w:rPr>
          <w:rFonts w:asciiTheme="majorBidi" w:hAnsiTheme="majorBidi" w:cstheme="majorBidi"/>
          <w:sz w:val="24"/>
          <w:szCs w:val="24"/>
        </w:rPr>
        <w:t>de la règlementation et l’évaluation environnementale stratégique seront prises en charge par le projet.</w:t>
      </w:r>
      <w:r w:rsidR="4B4586DC" w:rsidRPr="00AB7F24">
        <w:rPr>
          <w:rFonts w:asciiTheme="majorBidi" w:hAnsiTheme="majorBidi" w:cstheme="majorBidi"/>
          <w:sz w:val="24"/>
          <w:szCs w:val="24"/>
        </w:rPr>
        <w:t xml:space="preserve"> L</w:t>
      </w:r>
      <w:r w:rsidR="4B4586DC" w:rsidRPr="00AB7F24">
        <w:rPr>
          <w:rFonts w:asciiTheme="majorBidi" w:eastAsia="Segoe UI" w:hAnsiTheme="majorBidi" w:cstheme="majorBidi"/>
          <w:color w:val="242424"/>
          <w:sz w:val="24"/>
          <w:szCs w:val="24"/>
        </w:rPr>
        <w:t xml:space="preserve">es termes de référence ont été finalisés et un plan de renforcement des capacités, assorti d’un calendrier de mise en œuvre par phases, sera préparé au plus tard trois mois après l’entrée en vigueur du projet. </w:t>
      </w:r>
    </w:p>
    <w:p w14:paraId="4C0CC7CB" w14:textId="08EF51C3" w:rsidR="1BE65B99" w:rsidRPr="00AB7F24" w:rsidRDefault="1BE65B99" w:rsidP="00AB7F24">
      <w:pPr>
        <w:spacing w:line="276" w:lineRule="auto"/>
        <w:jc w:val="both"/>
        <w:rPr>
          <w:rFonts w:asciiTheme="majorBidi" w:eastAsia="Segoe UI" w:hAnsiTheme="majorBidi" w:cstheme="majorBidi"/>
          <w:sz w:val="24"/>
          <w:szCs w:val="24"/>
        </w:rPr>
      </w:pPr>
      <w:r w:rsidRPr="00AB7F24">
        <w:rPr>
          <w:rFonts w:asciiTheme="majorBidi" w:eastAsia="Segoe UI" w:hAnsiTheme="majorBidi" w:cstheme="majorBidi"/>
          <w:color w:val="242424"/>
          <w:sz w:val="24"/>
          <w:szCs w:val="24"/>
        </w:rPr>
        <w:t>De même que les besoins de la formation professionnelle dans le secteur gazier seront pris en charge par le projet au titre de la sous-composante 3.3 – Formation technique et spécialisée</w:t>
      </w:r>
      <w:r w:rsidR="4D6D3A97" w:rsidRPr="00AB7F24">
        <w:rPr>
          <w:rFonts w:asciiTheme="majorBidi" w:eastAsia="Segoe UI" w:hAnsiTheme="majorBidi" w:cstheme="majorBidi"/>
          <w:color w:val="242424"/>
          <w:sz w:val="24"/>
          <w:szCs w:val="24"/>
        </w:rPr>
        <w:t xml:space="preserve"> dont les </w:t>
      </w:r>
      <w:r w:rsidRPr="00AB7F24">
        <w:rPr>
          <w:rFonts w:asciiTheme="majorBidi" w:eastAsia="Segoe UI" w:hAnsiTheme="majorBidi" w:cstheme="majorBidi"/>
          <w:color w:val="242424"/>
          <w:sz w:val="24"/>
          <w:szCs w:val="24"/>
        </w:rPr>
        <w:t>programmes de formation</w:t>
      </w:r>
      <w:r w:rsidR="2918E765" w:rsidRPr="00AB7F24">
        <w:rPr>
          <w:rFonts w:asciiTheme="majorBidi" w:eastAsia="Segoe UI" w:hAnsiTheme="majorBidi" w:cstheme="majorBidi"/>
          <w:color w:val="242424"/>
          <w:sz w:val="24"/>
          <w:szCs w:val="24"/>
        </w:rPr>
        <w:t xml:space="preserve"> </w:t>
      </w:r>
      <w:r w:rsidRPr="00AB7F24">
        <w:rPr>
          <w:rFonts w:asciiTheme="majorBidi" w:eastAsia="Segoe UI" w:hAnsiTheme="majorBidi" w:cstheme="majorBidi"/>
          <w:color w:val="242424"/>
          <w:sz w:val="24"/>
          <w:szCs w:val="24"/>
        </w:rPr>
        <w:t>intégreront des objectifs de participation féminine, conformément au Plan d’action genre, et feront l’objet d’un suivi annuel.</w:t>
      </w:r>
    </w:p>
    <w:p w14:paraId="4D101609" w14:textId="77777777" w:rsidR="0083496A" w:rsidRPr="00AB7F24" w:rsidRDefault="0083496A" w:rsidP="00AB7F24">
      <w:pPr>
        <w:spacing w:line="276" w:lineRule="auto"/>
        <w:jc w:val="both"/>
        <w:rPr>
          <w:rFonts w:asciiTheme="majorBidi" w:hAnsiTheme="majorBidi" w:cstheme="majorBidi"/>
          <w:sz w:val="24"/>
          <w:szCs w:val="24"/>
        </w:rPr>
      </w:pPr>
    </w:p>
    <w:p w14:paraId="7D2A48B5" w14:textId="77777777" w:rsidR="0083496A" w:rsidRPr="00AB7F24" w:rsidRDefault="0083496A" w:rsidP="00AB7F24">
      <w:pPr>
        <w:spacing w:line="276" w:lineRule="auto"/>
        <w:jc w:val="both"/>
        <w:rPr>
          <w:rFonts w:asciiTheme="majorBidi" w:hAnsiTheme="majorBidi" w:cstheme="majorBidi"/>
          <w:sz w:val="24"/>
          <w:szCs w:val="24"/>
        </w:rPr>
      </w:pPr>
      <w:r w:rsidRPr="00AB7F24">
        <w:rPr>
          <w:rFonts w:asciiTheme="majorBidi" w:hAnsiTheme="majorBidi" w:cstheme="majorBidi"/>
          <w:noProof/>
          <w:sz w:val="24"/>
          <w:szCs w:val="24"/>
        </w:rPr>
        <w:lastRenderedPageBreak/>
        <w:drawing>
          <wp:inline distT="0" distB="0" distL="0" distR="0" wp14:anchorId="515383BE" wp14:editId="0BF1FFE5">
            <wp:extent cx="5760720" cy="2965450"/>
            <wp:effectExtent l="0" t="0" r="0" b="6350"/>
            <wp:docPr id="13195993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599314" name=""/>
                    <pic:cNvPicPr/>
                  </pic:nvPicPr>
                  <pic:blipFill>
                    <a:blip r:embed="rId9"/>
                    <a:stretch>
                      <a:fillRect/>
                    </a:stretch>
                  </pic:blipFill>
                  <pic:spPr>
                    <a:xfrm>
                      <a:off x="0" y="0"/>
                      <a:ext cx="5760720" cy="2965450"/>
                    </a:xfrm>
                    <a:prstGeom prst="rect">
                      <a:avLst/>
                    </a:prstGeom>
                  </pic:spPr>
                </pic:pic>
              </a:graphicData>
            </a:graphic>
          </wp:inline>
        </w:drawing>
      </w:r>
    </w:p>
    <w:p w14:paraId="5A34481B" w14:textId="77777777" w:rsidR="0083496A" w:rsidRPr="00AB7F24" w:rsidRDefault="0083496A" w:rsidP="00AB7F24">
      <w:pPr>
        <w:spacing w:line="276" w:lineRule="auto"/>
        <w:jc w:val="both"/>
        <w:rPr>
          <w:rFonts w:asciiTheme="majorBidi" w:hAnsiTheme="majorBidi" w:cstheme="majorBidi"/>
          <w:sz w:val="24"/>
          <w:szCs w:val="24"/>
        </w:rPr>
      </w:pPr>
      <w:r w:rsidRPr="00AB7F24">
        <w:rPr>
          <w:rFonts w:asciiTheme="majorBidi" w:hAnsiTheme="majorBidi" w:cstheme="majorBidi"/>
          <w:sz w:val="24"/>
          <w:szCs w:val="24"/>
        </w:rPr>
        <w:t xml:space="preserve">Photo : vue de la réunion de consultation avec les parties prenantes institutionnelles </w:t>
      </w:r>
    </w:p>
    <w:p w14:paraId="22BF137E" w14:textId="77777777" w:rsidR="0083496A" w:rsidRPr="00AB7F24" w:rsidRDefault="0083496A" w:rsidP="00AB7F24">
      <w:pPr>
        <w:spacing w:line="276" w:lineRule="auto"/>
        <w:jc w:val="both"/>
        <w:rPr>
          <w:rFonts w:asciiTheme="majorBidi" w:hAnsiTheme="majorBidi" w:cstheme="majorBidi"/>
          <w:sz w:val="24"/>
          <w:szCs w:val="24"/>
        </w:rPr>
      </w:pPr>
      <w:r w:rsidRPr="00AB7F24">
        <w:rPr>
          <w:rFonts w:asciiTheme="majorBidi" w:hAnsiTheme="majorBidi" w:cstheme="majorBidi"/>
          <w:sz w:val="24"/>
          <w:szCs w:val="24"/>
        </w:rPr>
        <w:t xml:space="preserve">Par ailleurs, un entretien avec le Directeur de l’Eau et l’Electricité de l’Autorité de Régulation (ARE) a permis de présenter le projet et recueillir les avis et attentes vis à vis de celui-ci.  </w:t>
      </w:r>
    </w:p>
    <w:p w14:paraId="175BA0E4" w14:textId="77777777" w:rsidR="0083496A" w:rsidRPr="00AB7F24" w:rsidRDefault="0083496A" w:rsidP="00AB7F24">
      <w:pPr>
        <w:spacing w:line="276" w:lineRule="auto"/>
        <w:jc w:val="both"/>
        <w:rPr>
          <w:rFonts w:asciiTheme="majorBidi" w:hAnsiTheme="majorBidi" w:cstheme="majorBidi"/>
          <w:sz w:val="24"/>
          <w:szCs w:val="24"/>
        </w:rPr>
      </w:pPr>
      <w:r w:rsidRPr="00AB7F24">
        <w:rPr>
          <w:rFonts w:asciiTheme="majorBidi" w:hAnsiTheme="majorBidi" w:cstheme="majorBidi"/>
          <w:sz w:val="24"/>
          <w:szCs w:val="24"/>
        </w:rPr>
        <w:t xml:space="preserve">L’ARE joue un rôle prépondérant dans le secteur de l’Energie y compris pour l’intégration sous régionale dans le secteur de l’électricité.  </w:t>
      </w:r>
    </w:p>
    <w:p w14:paraId="313815AF" w14:textId="77777777" w:rsidR="0083496A" w:rsidRPr="00AB7F24" w:rsidRDefault="0083496A" w:rsidP="00AB7F24">
      <w:pPr>
        <w:spacing w:line="276" w:lineRule="auto"/>
        <w:jc w:val="both"/>
        <w:rPr>
          <w:rFonts w:asciiTheme="majorBidi" w:hAnsiTheme="majorBidi" w:cstheme="majorBidi"/>
          <w:sz w:val="24"/>
          <w:szCs w:val="24"/>
        </w:rPr>
      </w:pPr>
      <w:r w:rsidRPr="00AB7F24">
        <w:rPr>
          <w:rFonts w:asciiTheme="majorBidi" w:hAnsiTheme="majorBidi" w:cstheme="majorBidi"/>
          <w:sz w:val="24"/>
          <w:szCs w:val="24"/>
        </w:rPr>
        <w:t xml:space="preserve">L’ARE a supervisé la mise en place du projet de centrale à gaz de N’Diago, d’une capacité de 230 mégawatts (MW) suivant le modèle du partenariat public-privé (PPP).  </w:t>
      </w:r>
    </w:p>
    <w:p w14:paraId="4FA49FA8" w14:textId="77777777" w:rsidR="0083496A" w:rsidRPr="00AB7F24" w:rsidRDefault="0083496A" w:rsidP="00AB7F24">
      <w:pPr>
        <w:spacing w:line="276" w:lineRule="auto"/>
        <w:jc w:val="both"/>
        <w:rPr>
          <w:rFonts w:asciiTheme="majorBidi" w:hAnsiTheme="majorBidi" w:cstheme="majorBidi"/>
          <w:sz w:val="24"/>
          <w:szCs w:val="24"/>
        </w:rPr>
      </w:pPr>
      <w:r w:rsidRPr="00AB7F24">
        <w:rPr>
          <w:rFonts w:asciiTheme="majorBidi" w:hAnsiTheme="majorBidi" w:cstheme="majorBidi"/>
          <w:sz w:val="24"/>
          <w:szCs w:val="24"/>
        </w:rPr>
        <w:t xml:space="preserve">Les attentes de l’ARE sont le renforcement des capacités pour accompagner ce processus de modernisation du réseau électrique.  De plus, elle est déficitaire en ressources humaines  </w:t>
      </w:r>
    </w:p>
    <w:p w14:paraId="5B551BE1" w14:textId="141608F5" w:rsidR="0083496A" w:rsidRPr="00AB7F24" w:rsidRDefault="2A325B32" w:rsidP="00AB7F24">
      <w:pPr>
        <w:spacing w:line="276" w:lineRule="auto"/>
        <w:jc w:val="both"/>
        <w:rPr>
          <w:rFonts w:asciiTheme="majorBidi" w:eastAsia="Aptos" w:hAnsiTheme="majorBidi" w:cstheme="majorBidi"/>
          <w:sz w:val="24"/>
          <w:szCs w:val="24"/>
        </w:rPr>
      </w:pPr>
      <w:r w:rsidRPr="00AB7F24">
        <w:rPr>
          <w:rFonts w:asciiTheme="majorBidi" w:eastAsia="Aptos" w:hAnsiTheme="majorBidi" w:cstheme="majorBidi"/>
          <w:sz w:val="24"/>
          <w:szCs w:val="24"/>
        </w:rPr>
        <w:t>Les consultations institutionnelles conduites le 2 octobre 2026 constituent une première étape. Compte tenu du niveau de risque du projet, les UGP organiseront des consultations significatives avec les communautés et catégories de personnes potentiellement touchées</w:t>
      </w:r>
      <w:r w:rsidR="613FC99B" w:rsidRPr="00AB7F24">
        <w:rPr>
          <w:rFonts w:asciiTheme="majorBidi" w:eastAsia="Aptos" w:hAnsiTheme="majorBidi" w:cstheme="majorBidi"/>
          <w:sz w:val="24"/>
          <w:szCs w:val="24"/>
        </w:rPr>
        <w:t xml:space="preserve">, au plus tard un mois </w:t>
      </w:r>
      <w:r w:rsidR="610F409E" w:rsidRPr="00AB7F24">
        <w:rPr>
          <w:rFonts w:asciiTheme="majorBidi" w:eastAsia="Aptos" w:hAnsiTheme="majorBidi" w:cstheme="majorBidi"/>
          <w:sz w:val="24"/>
          <w:szCs w:val="24"/>
        </w:rPr>
        <w:t xml:space="preserve">suivant </w:t>
      </w:r>
      <w:r w:rsidR="613FC99B" w:rsidRPr="00AB7F24">
        <w:rPr>
          <w:rFonts w:asciiTheme="majorBidi" w:eastAsia="Aptos" w:hAnsiTheme="majorBidi" w:cstheme="majorBidi"/>
          <w:sz w:val="24"/>
          <w:szCs w:val="24"/>
        </w:rPr>
        <w:t>la date d’entrée de mise en vigueur</w:t>
      </w:r>
      <w:r w:rsidR="7B578617" w:rsidRPr="00AB7F24">
        <w:rPr>
          <w:rFonts w:asciiTheme="majorBidi" w:eastAsia="Aptos" w:hAnsiTheme="majorBidi" w:cstheme="majorBidi"/>
          <w:sz w:val="24"/>
          <w:szCs w:val="24"/>
        </w:rPr>
        <w:t>.</w:t>
      </w:r>
      <w:r w:rsidRPr="00AB7F24">
        <w:rPr>
          <w:rFonts w:asciiTheme="majorBidi" w:eastAsia="Aptos" w:hAnsiTheme="majorBidi" w:cstheme="majorBidi"/>
          <w:sz w:val="24"/>
          <w:szCs w:val="24"/>
        </w:rPr>
        <w:t xml:space="preserve"> Elles couvriront au minimum les communes et localités susceptibles d’être concernées par les options du corridor GTA–Ndiago, les communautés côtières, pêcheurs et mareyeuses, les éleveurs et pasteurs, les propriétaires et usagers des terres, les femmes, les jeunes et les personnes en situation de vulnérabilité. Lorsque les zones exactes ne sont pas encore connues, la consultation portera sur les corridors et scénarios raisonnablement envisageables et sera approfondie dès que les options seront précisées.</w:t>
      </w:r>
    </w:p>
    <w:p w14:paraId="36276ABA" w14:textId="50E499FA" w:rsidR="0083496A" w:rsidRPr="00AB7F24" w:rsidRDefault="2A325B32" w:rsidP="00AB7F24">
      <w:pPr>
        <w:spacing w:line="276" w:lineRule="auto"/>
        <w:jc w:val="both"/>
        <w:rPr>
          <w:rFonts w:asciiTheme="majorBidi" w:hAnsiTheme="majorBidi" w:cstheme="majorBidi"/>
          <w:sz w:val="24"/>
          <w:szCs w:val="24"/>
        </w:rPr>
      </w:pPr>
      <w:r w:rsidRPr="00AB7F24">
        <w:rPr>
          <w:rFonts w:asciiTheme="majorBidi" w:eastAsia="Aptos" w:hAnsiTheme="majorBidi" w:cstheme="majorBidi"/>
          <w:sz w:val="24"/>
          <w:szCs w:val="24"/>
          <w:lang w:val="fr"/>
        </w:rPr>
        <w:t xml:space="preserve">Chaque consultation fera l’objet d’un procès-verbal précisant la date, le lieu, les groupes représentés, le nombre de participants ventilé dans la mesure du possible par sexe et catégorie, les informations divulguées, les préoccupations et recommandations, les réponses du projet, les actions convenues, les responsables et les échéances. Une matrice consolidée de prise en compte des observations sera tenue par les UGP. Le PMPP sera mis à jour et republié après les consultations initiales, lors de toute évolution substantielle du projet </w:t>
      </w:r>
      <w:r w:rsidRPr="00AB7F24">
        <w:rPr>
          <w:rFonts w:asciiTheme="majorBidi" w:hAnsiTheme="majorBidi" w:cstheme="majorBidi"/>
          <w:sz w:val="24"/>
          <w:szCs w:val="24"/>
        </w:rPr>
        <w:t xml:space="preserve"> </w:t>
      </w:r>
    </w:p>
    <w:p w14:paraId="798DDC00" w14:textId="7A9ED8B8" w:rsidR="0083496A" w:rsidRPr="00AB7F24" w:rsidRDefault="0083496A" w:rsidP="00AB7F24">
      <w:pPr>
        <w:spacing w:line="276" w:lineRule="auto"/>
        <w:jc w:val="both"/>
        <w:rPr>
          <w:rFonts w:asciiTheme="majorBidi" w:hAnsiTheme="majorBidi" w:cstheme="majorBidi"/>
          <w:sz w:val="24"/>
          <w:szCs w:val="24"/>
        </w:rPr>
      </w:pPr>
    </w:p>
    <w:p w14:paraId="523DE263" w14:textId="3AECF7DD" w:rsidR="0083496A" w:rsidRPr="00AB7F24" w:rsidRDefault="0083496A" w:rsidP="00AB7F24">
      <w:pPr>
        <w:spacing w:line="276" w:lineRule="auto"/>
        <w:jc w:val="both"/>
        <w:rPr>
          <w:rFonts w:asciiTheme="majorBidi" w:hAnsiTheme="majorBidi" w:cstheme="majorBidi"/>
          <w:sz w:val="24"/>
          <w:szCs w:val="24"/>
        </w:rPr>
      </w:pPr>
    </w:p>
    <w:p w14:paraId="2B22C981" w14:textId="77777777" w:rsidR="0083496A" w:rsidRPr="00AB7F24" w:rsidRDefault="0083496A" w:rsidP="00AB7F24">
      <w:pPr>
        <w:spacing w:line="276" w:lineRule="auto"/>
        <w:jc w:val="both"/>
        <w:rPr>
          <w:rFonts w:asciiTheme="majorBidi" w:hAnsiTheme="majorBidi" w:cstheme="majorBidi"/>
          <w:sz w:val="24"/>
          <w:szCs w:val="24"/>
        </w:rPr>
      </w:pPr>
      <w:r w:rsidRPr="00AB7F24">
        <w:rPr>
          <w:rFonts w:asciiTheme="majorBidi" w:hAnsiTheme="majorBidi" w:cstheme="majorBidi"/>
          <w:sz w:val="24"/>
          <w:szCs w:val="24"/>
        </w:rPr>
        <w:t>Le tableau ci-dessous présente le programme des consultations prioritaires prévues pour le premier mois de mise en œuvre :</w:t>
      </w:r>
    </w:p>
    <w:tbl>
      <w:tblPr>
        <w:tblStyle w:val="TableGrid"/>
        <w:tblW w:w="9085" w:type="dxa"/>
        <w:tblLook w:val="04A0" w:firstRow="1" w:lastRow="0" w:firstColumn="1" w:lastColumn="0" w:noHBand="0" w:noVBand="1"/>
      </w:tblPr>
      <w:tblGrid>
        <w:gridCol w:w="1435"/>
        <w:gridCol w:w="1440"/>
        <w:gridCol w:w="2520"/>
        <w:gridCol w:w="3690"/>
      </w:tblGrid>
      <w:tr w:rsidR="0083496A" w:rsidRPr="00530F83" w14:paraId="1D756EFC" w14:textId="77777777" w:rsidTr="00530F83">
        <w:tc>
          <w:tcPr>
            <w:tcW w:w="1435" w:type="dxa"/>
            <w:vAlign w:val="center"/>
          </w:tcPr>
          <w:p w14:paraId="70993606" w14:textId="77777777" w:rsidR="0083496A" w:rsidRPr="00530F83" w:rsidRDefault="0083496A" w:rsidP="00AB7F24">
            <w:pPr>
              <w:spacing w:line="276" w:lineRule="auto"/>
              <w:jc w:val="both"/>
              <w:rPr>
                <w:rFonts w:asciiTheme="majorBidi" w:hAnsiTheme="majorBidi" w:cstheme="majorBidi"/>
                <w:sz w:val="18"/>
                <w:szCs w:val="18"/>
              </w:rPr>
            </w:pPr>
            <w:r w:rsidRPr="00530F83">
              <w:rPr>
                <w:rFonts w:asciiTheme="majorBidi" w:hAnsiTheme="majorBidi" w:cstheme="majorBidi"/>
                <w:b/>
                <w:bCs/>
                <w:sz w:val="18"/>
                <w:szCs w:val="18"/>
              </w:rPr>
              <w:t>Période prévue</w:t>
            </w:r>
          </w:p>
        </w:tc>
        <w:tc>
          <w:tcPr>
            <w:tcW w:w="1440" w:type="dxa"/>
            <w:vAlign w:val="center"/>
          </w:tcPr>
          <w:p w14:paraId="40BA6E0E" w14:textId="77777777" w:rsidR="0083496A" w:rsidRPr="00530F83" w:rsidRDefault="0083496A" w:rsidP="00AB7F24">
            <w:pPr>
              <w:spacing w:line="276" w:lineRule="auto"/>
              <w:jc w:val="both"/>
              <w:rPr>
                <w:rFonts w:asciiTheme="majorBidi" w:hAnsiTheme="majorBidi" w:cstheme="majorBidi"/>
                <w:sz w:val="18"/>
                <w:szCs w:val="18"/>
              </w:rPr>
            </w:pPr>
            <w:r w:rsidRPr="00530F83">
              <w:rPr>
                <w:rFonts w:asciiTheme="majorBidi" w:hAnsiTheme="majorBidi" w:cstheme="majorBidi"/>
                <w:b/>
                <w:bCs/>
                <w:sz w:val="18"/>
                <w:szCs w:val="18"/>
              </w:rPr>
              <w:t>Lieu</w:t>
            </w:r>
          </w:p>
        </w:tc>
        <w:tc>
          <w:tcPr>
            <w:tcW w:w="2520" w:type="dxa"/>
            <w:vAlign w:val="center"/>
          </w:tcPr>
          <w:p w14:paraId="4B1CDBE3" w14:textId="77777777" w:rsidR="0083496A" w:rsidRPr="00530F83" w:rsidRDefault="0083496A" w:rsidP="00AB7F24">
            <w:pPr>
              <w:spacing w:line="276" w:lineRule="auto"/>
              <w:jc w:val="both"/>
              <w:rPr>
                <w:rFonts w:asciiTheme="majorBidi" w:hAnsiTheme="majorBidi" w:cstheme="majorBidi"/>
                <w:sz w:val="18"/>
                <w:szCs w:val="18"/>
              </w:rPr>
            </w:pPr>
            <w:r w:rsidRPr="00530F83">
              <w:rPr>
                <w:rFonts w:asciiTheme="majorBidi" w:hAnsiTheme="majorBidi" w:cstheme="majorBidi"/>
                <w:b/>
                <w:bCs/>
                <w:sz w:val="18"/>
                <w:szCs w:val="18"/>
              </w:rPr>
              <w:t>Parties prenantes à consulter</w:t>
            </w:r>
          </w:p>
        </w:tc>
        <w:tc>
          <w:tcPr>
            <w:tcW w:w="3690" w:type="dxa"/>
            <w:vAlign w:val="center"/>
          </w:tcPr>
          <w:p w14:paraId="2D2C7446" w14:textId="77777777" w:rsidR="0083496A" w:rsidRPr="00530F83" w:rsidRDefault="0083496A" w:rsidP="00AB7F24">
            <w:pPr>
              <w:spacing w:line="276" w:lineRule="auto"/>
              <w:jc w:val="both"/>
              <w:rPr>
                <w:rFonts w:asciiTheme="majorBidi" w:hAnsiTheme="majorBidi" w:cstheme="majorBidi"/>
                <w:sz w:val="18"/>
                <w:szCs w:val="18"/>
              </w:rPr>
            </w:pPr>
            <w:r w:rsidRPr="00530F83">
              <w:rPr>
                <w:rFonts w:asciiTheme="majorBidi" w:hAnsiTheme="majorBidi" w:cstheme="majorBidi"/>
                <w:b/>
                <w:bCs/>
                <w:sz w:val="18"/>
                <w:szCs w:val="18"/>
              </w:rPr>
              <w:t>Objet de la consultation prévue</w:t>
            </w:r>
          </w:p>
        </w:tc>
      </w:tr>
      <w:tr w:rsidR="0083496A" w:rsidRPr="00530F83" w14:paraId="5CE85421" w14:textId="77777777" w:rsidTr="00530F83">
        <w:tc>
          <w:tcPr>
            <w:tcW w:w="1435" w:type="dxa"/>
            <w:vAlign w:val="center"/>
          </w:tcPr>
          <w:p w14:paraId="3D2F6CF3" w14:textId="77777777" w:rsidR="0083496A" w:rsidRPr="00530F83" w:rsidRDefault="0083496A" w:rsidP="00AB7F24">
            <w:pPr>
              <w:spacing w:line="276" w:lineRule="auto"/>
              <w:jc w:val="both"/>
              <w:rPr>
                <w:rFonts w:asciiTheme="majorBidi" w:hAnsiTheme="majorBidi" w:cstheme="majorBidi"/>
                <w:sz w:val="18"/>
                <w:szCs w:val="18"/>
              </w:rPr>
            </w:pPr>
            <w:r w:rsidRPr="00530F83">
              <w:rPr>
                <w:rFonts w:asciiTheme="majorBidi" w:hAnsiTheme="majorBidi" w:cstheme="majorBidi"/>
                <w:sz w:val="18"/>
                <w:szCs w:val="18"/>
              </w:rPr>
              <w:t xml:space="preserve">Réalisé </w:t>
            </w:r>
          </w:p>
        </w:tc>
        <w:tc>
          <w:tcPr>
            <w:tcW w:w="1440" w:type="dxa"/>
            <w:vAlign w:val="center"/>
          </w:tcPr>
          <w:p w14:paraId="5F7370FB" w14:textId="77777777" w:rsidR="0083496A" w:rsidRPr="00530F83" w:rsidRDefault="0083496A" w:rsidP="00AB7F24">
            <w:pPr>
              <w:spacing w:line="276" w:lineRule="auto"/>
              <w:jc w:val="both"/>
              <w:rPr>
                <w:rFonts w:asciiTheme="majorBidi" w:hAnsiTheme="majorBidi" w:cstheme="majorBidi"/>
                <w:sz w:val="18"/>
                <w:szCs w:val="18"/>
              </w:rPr>
            </w:pPr>
            <w:r w:rsidRPr="00530F83">
              <w:rPr>
                <w:rFonts w:asciiTheme="majorBidi" w:hAnsiTheme="majorBidi" w:cstheme="majorBidi"/>
                <w:sz w:val="18"/>
                <w:szCs w:val="18"/>
              </w:rPr>
              <w:t>Nouakchott</w:t>
            </w:r>
          </w:p>
        </w:tc>
        <w:tc>
          <w:tcPr>
            <w:tcW w:w="2520" w:type="dxa"/>
            <w:vAlign w:val="center"/>
          </w:tcPr>
          <w:p w14:paraId="6AC22AB1" w14:textId="77777777" w:rsidR="0083496A" w:rsidRPr="00530F83" w:rsidRDefault="0083496A" w:rsidP="00AB7F24">
            <w:pPr>
              <w:spacing w:after="160" w:line="276" w:lineRule="auto"/>
              <w:jc w:val="both"/>
              <w:rPr>
                <w:rFonts w:asciiTheme="majorBidi" w:hAnsiTheme="majorBidi" w:cstheme="majorBidi"/>
                <w:sz w:val="18"/>
                <w:szCs w:val="18"/>
              </w:rPr>
            </w:pPr>
            <w:r w:rsidRPr="00530F83">
              <w:rPr>
                <w:rFonts w:asciiTheme="majorBidi" w:hAnsiTheme="majorBidi" w:cstheme="majorBidi"/>
                <w:b/>
                <w:bCs/>
                <w:sz w:val="18"/>
                <w:szCs w:val="18"/>
              </w:rPr>
              <w:t>Consultations institutionnelles :</w:t>
            </w:r>
          </w:p>
          <w:p w14:paraId="35ECBC84" w14:textId="77777777" w:rsidR="0083496A" w:rsidRPr="00530F83" w:rsidRDefault="0083496A" w:rsidP="00AB7F24">
            <w:pPr>
              <w:spacing w:after="160" w:line="276" w:lineRule="auto"/>
              <w:jc w:val="both"/>
              <w:rPr>
                <w:rFonts w:asciiTheme="majorBidi" w:hAnsiTheme="majorBidi" w:cstheme="majorBidi"/>
                <w:sz w:val="18"/>
                <w:szCs w:val="18"/>
              </w:rPr>
            </w:pPr>
            <w:r w:rsidRPr="00530F83">
              <w:rPr>
                <w:rFonts w:asciiTheme="majorBidi" w:hAnsiTheme="majorBidi" w:cstheme="majorBidi"/>
                <w:sz w:val="18"/>
                <w:szCs w:val="18"/>
              </w:rPr>
              <w:t>- MEP</w:t>
            </w:r>
          </w:p>
          <w:p w14:paraId="5608E33A" w14:textId="77777777" w:rsidR="0083496A" w:rsidRPr="00530F83" w:rsidRDefault="0083496A" w:rsidP="00AB7F24">
            <w:pPr>
              <w:spacing w:after="160" w:line="276" w:lineRule="auto"/>
              <w:jc w:val="both"/>
              <w:rPr>
                <w:rFonts w:asciiTheme="majorBidi" w:hAnsiTheme="majorBidi" w:cstheme="majorBidi"/>
                <w:sz w:val="18"/>
                <w:szCs w:val="18"/>
              </w:rPr>
            </w:pPr>
            <w:r w:rsidRPr="00530F83">
              <w:rPr>
                <w:rFonts w:asciiTheme="majorBidi" w:hAnsiTheme="majorBidi" w:cstheme="majorBidi"/>
                <w:sz w:val="18"/>
                <w:szCs w:val="18"/>
              </w:rPr>
              <w:t>- Ministère de l'Environnement (Dir. des Évaluations E&amp;S)</w:t>
            </w:r>
          </w:p>
          <w:p w14:paraId="2E0208A8" w14:textId="77777777" w:rsidR="0083496A" w:rsidRPr="00530F83" w:rsidRDefault="0083496A" w:rsidP="00AB7F24">
            <w:pPr>
              <w:spacing w:after="160" w:line="276" w:lineRule="auto"/>
              <w:jc w:val="both"/>
              <w:rPr>
                <w:rFonts w:asciiTheme="majorBidi" w:hAnsiTheme="majorBidi" w:cstheme="majorBidi"/>
                <w:sz w:val="18"/>
                <w:szCs w:val="18"/>
              </w:rPr>
            </w:pPr>
            <w:r w:rsidRPr="00530F83">
              <w:rPr>
                <w:rFonts w:asciiTheme="majorBidi" w:hAnsiTheme="majorBidi" w:cstheme="majorBidi"/>
                <w:sz w:val="18"/>
                <w:szCs w:val="18"/>
              </w:rPr>
              <w:t>- SMH</w:t>
            </w:r>
          </w:p>
          <w:p w14:paraId="2F694BFA" w14:textId="61E0F125" w:rsidR="0083496A" w:rsidRPr="00530F83" w:rsidRDefault="0083496A" w:rsidP="00530F83">
            <w:pPr>
              <w:spacing w:after="160" w:line="276" w:lineRule="auto"/>
              <w:jc w:val="both"/>
              <w:rPr>
                <w:rFonts w:asciiTheme="majorBidi" w:hAnsiTheme="majorBidi" w:cstheme="majorBidi"/>
                <w:sz w:val="18"/>
                <w:szCs w:val="18"/>
              </w:rPr>
            </w:pPr>
            <w:r w:rsidRPr="00530F83">
              <w:rPr>
                <w:rFonts w:asciiTheme="majorBidi" w:hAnsiTheme="majorBidi" w:cstheme="majorBidi"/>
                <w:sz w:val="18"/>
                <w:szCs w:val="18"/>
              </w:rPr>
              <w:t>- ARE</w:t>
            </w:r>
          </w:p>
        </w:tc>
        <w:tc>
          <w:tcPr>
            <w:tcW w:w="3690" w:type="dxa"/>
            <w:vAlign w:val="center"/>
          </w:tcPr>
          <w:p w14:paraId="75947F66" w14:textId="77777777" w:rsidR="0083496A" w:rsidRPr="00530F83" w:rsidRDefault="0083496A" w:rsidP="00AB7F24">
            <w:pPr>
              <w:spacing w:line="276" w:lineRule="auto"/>
              <w:jc w:val="both"/>
              <w:rPr>
                <w:rFonts w:asciiTheme="majorBidi" w:hAnsiTheme="majorBidi" w:cstheme="majorBidi"/>
                <w:sz w:val="18"/>
                <w:szCs w:val="18"/>
              </w:rPr>
            </w:pPr>
            <w:r w:rsidRPr="00530F83">
              <w:rPr>
                <w:rFonts w:asciiTheme="majorBidi" w:hAnsiTheme="majorBidi" w:cstheme="majorBidi"/>
                <w:sz w:val="18"/>
                <w:szCs w:val="18"/>
              </w:rPr>
              <w:t>Présentation des mécanismes de coordination (UGP-MEP et SOMELEC), discussions sur l'intégration des exigences E&amp;S dans les cadres PPP et les TdR des futures études.</w:t>
            </w:r>
          </w:p>
        </w:tc>
      </w:tr>
      <w:tr w:rsidR="0083496A" w:rsidRPr="00530F83" w14:paraId="76C6ABBB" w14:textId="77777777" w:rsidTr="00530F83">
        <w:tc>
          <w:tcPr>
            <w:tcW w:w="1435" w:type="dxa"/>
            <w:vAlign w:val="center"/>
          </w:tcPr>
          <w:p w14:paraId="57F05B5D" w14:textId="77777777" w:rsidR="0083496A" w:rsidRPr="00530F83" w:rsidRDefault="0083496A" w:rsidP="00AB7F24">
            <w:pPr>
              <w:spacing w:line="276" w:lineRule="auto"/>
              <w:jc w:val="both"/>
              <w:rPr>
                <w:rFonts w:asciiTheme="majorBidi" w:hAnsiTheme="majorBidi" w:cstheme="majorBidi"/>
                <w:sz w:val="18"/>
                <w:szCs w:val="18"/>
              </w:rPr>
            </w:pPr>
            <w:r w:rsidRPr="00530F83">
              <w:rPr>
                <w:rFonts w:asciiTheme="majorBidi" w:hAnsiTheme="majorBidi" w:cstheme="majorBidi"/>
                <w:sz w:val="18"/>
                <w:szCs w:val="18"/>
              </w:rPr>
              <w:t>Dans le mois suivant l'entrée en vigueur</w:t>
            </w:r>
          </w:p>
        </w:tc>
        <w:tc>
          <w:tcPr>
            <w:tcW w:w="1440" w:type="dxa"/>
            <w:vAlign w:val="center"/>
          </w:tcPr>
          <w:p w14:paraId="3AEDF5C6" w14:textId="77777777" w:rsidR="0083496A" w:rsidRPr="00530F83" w:rsidRDefault="0083496A" w:rsidP="00AB7F24">
            <w:pPr>
              <w:spacing w:line="276" w:lineRule="auto"/>
              <w:jc w:val="both"/>
              <w:rPr>
                <w:rFonts w:asciiTheme="majorBidi" w:hAnsiTheme="majorBidi" w:cstheme="majorBidi"/>
                <w:sz w:val="18"/>
                <w:szCs w:val="18"/>
              </w:rPr>
            </w:pPr>
            <w:r w:rsidRPr="00530F83">
              <w:rPr>
                <w:rFonts w:asciiTheme="majorBidi" w:hAnsiTheme="majorBidi" w:cstheme="majorBidi"/>
                <w:sz w:val="18"/>
                <w:szCs w:val="18"/>
              </w:rPr>
              <w:t>Communes cibles sur le tracé GTA-Ndiago</w:t>
            </w:r>
          </w:p>
        </w:tc>
        <w:tc>
          <w:tcPr>
            <w:tcW w:w="2520" w:type="dxa"/>
            <w:vAlign w:val="center"/>
          </w:tcPr>
          <w:p w14:paraId="55FA717D" w14:textId="77777777" w:rsidR="0083496A" w:rsidRPr="00530F83" w:rsidRDefault="0083496A" w:rsidP="00AB7F24">
            <w:pPr>
              <w:spacing w:after="160" w:line="276" w:lineRule="auto"/>
              <w:jc w:val="both"/>
              <w:rPr>
                <w:rFonts w:asciiTheme="majorBidi" w:hAnsiTheme="majorBidi" w:cstheme="majorBidi"/>
                <w:sz w:val="18"/>
                <w:szCs w:val="18"/>
              </w:rPr>
            </w:pPr>
            <w:r w:rsidRPr="00530F83">
              <w:rPr>
                <w:rFonts w:asciiTheme="majorBidi" w:hAnsiTheme="majorBidi" w:cstheme="majorBidi"/>
                <w:b/>
                <w:bCs/>
                <w:sz w:val="18"/>
                <w:szCs w:val="18"/>
              </w:rPr>
              <w:t>Consultations communautaires :</w:t>
            </w:r>
          </w:p>
          <w:p w14:paraId="5CE5559A" w14:textId="1CDFBFC0" w:rsidR="0083496A" w:rsidRPr="00530F83" w:rsidRDefault="0083496A" w:rsidP="00530F83">
            <w:pPr>
              <w:spacing w:after="160" w:line="276" w:lineRule="auto"/>
              <w:jc w:val="both"/>
              <w:rPr>
                <w:rFonts w:asciiTheme="majorBidi" w:hAnsiTheme="majorBidi" w:cstheme="majorBidi"/>
                <w:sz w:val="18"/>
                <w:szCs w:val="18"/>
              </w:rPr>
            </w:pPr>
            <w:r w:rsidRPr="00530F83">
              <w:rPr>
                <w:rFonts w:asciiTheme="majorBidi" w:hAnsiTheme="majorBidi" w:cstheme="majorBidi"/>
                <w:sz w:val="18"/>
                <w:szCs w:val="18"/>
              </w:rPr>
              <w:t>- Communautés côtières et pastorales potentiellement affectées par les futurs investissements de la Phase 2.</w:t>
            </w:r>
          </w:p>
        </w:tc>
        <w:tc>
          <w:tcPr>
            <w:tcW w:w="3690" w:type="dxa"/>
            <w:vAlign w:val="center"/>
          </w:tcPr>
          <w:p w14:paraId="6511CBDC" w14:textId="77777777" w:rsidR="0083496A" w:rsidRPr="00530F83" w:rsidRDefault="0083496A" w:rsidP="00AB7F24">
            <w:pPr>
              <w:spacing w:line="276" w:lineRule="auto"/>
              <w:jc w:val="both"/>
              <w:rPr>
                <w:rFonts w:asciiTheme="majorBidi" w:hAnsiTheme="majorBidi" w:cstheme="majorBidi"/>
                <w:sz w:val="18"/>
                <w:szCs w:val="18"/>
              </w:rPr>
            </w:pPr>
            <w:r w:rsidRPr="00530F83">
              <w:rPr>
                <w:rFonts w:asciiTheme="majorBidi" w:hAnsiTheme="majorBidi" w:cstheme="majorBidi"/>
                <w:sz w:val="18"/>
                <w:szCs w:val="18"/>
              </w:rPr>
              <w:t>Information sur la nature préparatoire du projet (Phase 1), recueil des préoccupations foncières, environnementales et socio-économiques locales pour les intégrer dans les TdR des études FEED et EIES.</w:t>
            </w:r>
          </w:p>
        </w:tc>
      </w:tr>
      <w:tr w:rsidR="0083496A" w:rsidRPr="00530F83" w14:paraId="4BDEB0E2" w14:textId="77777777" w:rsidTr="00530F83">
        <w:tc>
          <w:tcPr>
            <w:tcW w:w="1435" w:type="dxa"/>
            <w:vAlign w:val="center"/>
          </w:tcPr>
          <w:p w14:paraId="3EB72BF4" w14:textId="77777777" w:rsidR="0083496A" w:rsidRPr="00530F83" w:rsidRDefault="0083496A" w:rsidP="00AB7F24">
            <w:pPr>
              <w:spacing w:line="276" w:lineRule="auto"/>
              <w:jc w:val="both"/>
              <w:rPr>
                <w:rFonts w:asciiTheme="majorBidi" w:hAnsiTheme="majorBidi" w:cstheme="majorBidi"/>
                <w:sz w:val="18"/>
                <w:szCs w:val="18"/>
              </w:rPr>
            </w:pPr>
            <w:r w:rsidRPr="00530F83">
              <w:rPr>
                <w:rFonts w:asciiTheme="majorBidi" w:hAnsiTheme="majorBidi" w:cstheme="majorBidi"/>
                <w:sz w:val="18"/>
                <w:szCs w:val="18"/>
              </w:rPr>
              <w:t>Dans le mois suivant l'entrée en vigueur</w:t>
            </w:r>
          </w:p>
        </w:tc>
        <w:tc>
          <w:tcPr>
            <w:tcW w:w="1440" w:type="dxa"/>
            <w:vAlign w:val="center"/>
          </w:tcPr>
          <w:p w14:paraId="141E15C5" w14:textId="77777777" w:rsidR="0083496A" w:rsidRPr="00530F83" w:rsidRDefault="0083496A" w:rsidP="00AB7F24">
            <w:pPr>
              <w:spacing w:line="276" w:lineRule="auto"/>
              <w:jc w:val="both"/>
              <w:rPr>
                <w:rFonts w:asciiTheme="majorBidi" w:hAnsiTheme="majorBidi" w:cstheme="majorBidi"/>
                <w:sz w:val="18"/>
                <w:szCs w:val="18"/>
              </w:rPr>
            </w:pPr>
            <w:r w:rsidRPr="00530F83">
              <w:rPr>
                <w:rFonts w:asciiTheme="majorBidi" w:hAnsiTheme="majorBidi" w:cstheme="majorBidi"/>
                <w:sz w:val="18"/>
                <w:szCs w:val="18"/>
              </w:rPr>
              <w:t>Nouakchott</w:t>
            </w:r>
          </w:p>
        </w:tc>
        <w:tc>
          <w:tcPr>
            <w:tcW w:w="2520" w:type="dxa"/>
            <w:vAlign w:val="center"/>
          </w:tcPr>
          <w:p w14:paraId="6135F025" w14:textId="77777777" w:rsidR="0083496A" w:rsidRPr="00530F83" w:rsidRDefault="0083496A" w:rsidP="00AB7F24">
            <w:pPr>
              <w:spacing w:after="160" w:line="276" w:lineRule="auto"/>
              <w:jc w:val="both"/>
              <w:rPr>
                <w:rFonts w:asciiTheme="majorBidi" w:hAnsiTheme="majorBidi" w:cstheme="majorBidi"/>
                <w:sz w:val="18"/>
                <w:szCs w:val="18"/>
              </w:rPr>
            </w:pPr>
            <w:r w:rsidRPr="00530F83">
              <w:rPr>
                <w:rFonts w:asciiTheme="majorBidi" w:hAnsiTheme="majorBidi" w:cstheme="majorBidi"/>
                <w:b/>
                <w:bCs/>
                <w:sz w:val="18"/>
                <w:szCs w:val="18"/>
              </w:rPr>
              <w:t>Société civile :</w:t>
            </w:r>
          </w:p>
          <w:p w14:paraId="636FE441" w14:textId="77777777" w:rsidR="0083496A" w:rsidRPr="00530F83" w:rsidRDefault="0083496A" w:rsidP="00AB7F24">
            <w:pPr>
              <w:spacing w:after="160" w:line="276" w:lineRule="auto"/>
              <w:jc w:val="both"/>
              <w:rPr>
                <w:rFonts w:asciiTheme="majorBidi" w:hAnsiTheme="majorBidi" w:cstheme="majorBidi"/>
                <w:sz w:val="18"/>
                <w:szCs w:val="18"/>
              </w:rPr>
            </w:pPr>
            <w:r w:rsidRPr="00530F83">
              <w:rPr>
                <w:rFonts w:asciiTheme="majorBidi" w:hAnsiTheme="majorBidi" w:cstheme="majorBidi"/>
                <w:sz w:val="18"/>
                <w:szCs w:val="18"/>
              </w:rPr>
              <w:t>- ONG environnementales</w:t>
            </w:r>
          </w:p>
          <w:p w14:paraId="1A3DEC89" w14:textId="522415C8" w:rsidR="0083496A" w:rsidRPr="00530F83" w:rsidRDefault="0083496A" w:rsidP="00530F83">
            <w:pPr>
              <w:spacing w:after="160" w:line="276" w:lineRule="auto"/>
              <w:jc w:val="both"/>
              <w:rPr>
                <w:rFonts w:asciiTheme="majorBidi" w:hAnsiTheme="majorBidi" w:cstheme="majorBidi"/>
                <w:sz w:val="18"/>
                <w:szCs w:val="18"/>
              </w:rPr>
            </w:pPr>
            <w:r w:rsidRPr="00530F83">
              <w:rPr>
                <w:rFonts w:asciiTheme="majorBidi" w:hAnsiTheme="majorBidi" w:cstheme="majorBidi"/>
                <w:sz w:val="18"/>
                <w:szCs w:val="18"/>
              </w:rPr>
              <w:t>- Associations locales</w:t>
            </w:r>
          </w:p>
        </w:tc>
        <w:tc>
          <w:tcPr>
            <w:tcW w:w="3690" w:type="dxa"/>
            <w:vAlign w:val="center"/>
          </w:tcPr>
          <w:p w14:paraId="54A7FE96" w14:textId="77777777" w:rsidR="0083496A" w:rsidRPr="00530F83" w:rsidRDefault="0083496A" w:rsidP="00AB7F24">
            <w:pPr>
              <w:spacing w:line="276" w:lineRule="auto"/>
              <w:jc w:val="both"/>
              <w:rPr>
                <w:rFonts w:asciiTheme="majorBidi" w:hAnsiTheme="majorBidi" w:cstheme="majorBidi"/>
                <w:sz w:val="18"/>
                <w:szCs w:val="18"/>
              </w:rPr>
            </w:pPr>
            <w:r w:rsidRPr="00530F83">
              <w:rPr>
                <w:rFonts w:asciiTheme="majorBidi" w:hAnsiTheme="majorBidi" w:cstheme="majorBidi"/>
                <w:sz w:val="18"/>
                <w:szCs w:val="18"/>
              </w:rPr>
              <w:t>Présentation et discussion autour du Mécanisme de Gestion des Plaintes (MGP) et des instruments E&amp;S (PEES).</w:t>
            </w:r>
          </w:p>
        </w:tc>
      </w:tr>
    </w:tbl>
    <w:p w14:paraId="3934B9A0" w14:textId="77777777" w:rsidR="0083496A" w:rsidRPr="00AB7F24" w:rsidRDefault="0083496A" w:rsidP="00AB7F24">
      <w:pPr>
        <w:spacing w:line="276" w:lineRule="auto"/>
        <w:jc w:val="both"/>
        <w:rPr>
          <w:rFonts w:asciiTheme="majorBidi" w:hAnsiTheme="majorBidi" w:cstheme="majorBidi"/>
          <w:sz w:val="24"/>
          <w:szCs w:val="24"/>
        </w:rPr>
      </w:pPr>
    </w:p>
    <w:p w14:paraId="36C1FBB4" w14:textId="4C174116" w:rsidR="0083496A" w:rsidRPr="00AB7F24" w:rsidRDefault="0083496A" w:rsidP="00AB7F24">
      <w:pPr>
        <w:pStyle w:val="Heading2"/>
        <w:numPr>
          <w:ilvl w:val="1"/>
          <w:numId w:val="35"/>
        </w:numPr>
        <w:spacing w:line="276" w:lineRule="auto"/>
        <w:ind w:left="810" w:hanging="450"/>
        <w:jc w:val="both"/>
        <w:rPr>
          <w:rFonts w:asciiTheme="majorBidi" w:eastAsiaTheme="minorHAnsi" w:hAnsiTheme="majorBidi"/>
          <w:b/>
          <w:bCs/>
          <w:color w:val="auto"/>
          <w:sz w:val="24"/>
          <w:szCs w:val="24"/>
        </w:rPr>
      </w:pPr>
      <w:bookmarkStart w:id="14" w:name="_Toc241155396"/>
      <w:r w:rsidRPr="00AB7F24">
        <w:rPr>
          <w:rFonts w:asciiTheme="majorBidi" w:eastAsiaTheme="minorHAnsi" w:hAnsiTheme="majorBidi"/>
          <w:b/>
          <w:bCs/>
          <w:color w:val="auto"/>
          <w:sz w:val="24"/>
          <w:szCs w:val="24"/>
        </w:rPr>
        <w:t>Résumé des besoins des parties prenantes du projet et des méthodes, outils et techniques de mobilisation des parties prenantes</w:t>
      </w:r>
      <w:bookmarkEnd w:id="14"/>
      <w:r w:rsidRPr="00AB7F24">
        <w:rPr>
          <w:rFonts w:asciiTheme="majorBidi" w:eastAsiaTheme="minorHAnsi" w:hAnsiTheme="majorBidi"/>
          <w:b/>
          <w:bCs/>
          <w:color w:val="auto"/>
          <w:sz w:val="24"/>
          <w:szCs w:val="24"/>
        </w:rPr>
        <w:t> </w:t>
      </w:r>
    </w:p>
    <w:p w14:paraId="4AE1F44B" w14:textId="77777777" w:rsidR="0083496A" w:rsidRPr="00AB7F24" w:rsidRDefault="0083496A" w:rsidP="00AB7F24">
      <w:pPr>
        <w:spacing w:line="276" w:lineRule="auto"/>
        <w:jc w:val="both"/>
        <w:rPr>
          <w:rFonts w:asciiTheme="majorBidi" w:hAnsiTheme="majorBidi" w:cstheme="majorBidi"/>
          <w:sz w:val="24"/>
          <w:szCs w:val="24"/>
        </w:rPr>
      </w:pPr>
      <w:r w:rsidRPr="00AB7F24">
        <w:rPr>
          <w:rFonts w:asciiTheme="majorBidi" w:hAnsiTheme="majorBidi" w:cstheme="majorBidi"/>
          <w:sz w:val="24"/>
          <w:szCs w:val="24"/>
        </w:rPr>
        <w:t> Le plan de mobilisation des parties prenantes ci-dessous décrit le processus et les méthodes de mobilisation, y compris l’enchaînement des actions à mener, les sujets de consultation et les parties prenantes ciblées. La Banque mondiale et l’Emprunteur ne tolèrent pas les représailles et les mesures de rétorsion à l’encontre des parties prenantes aux projets qui partagent leurs points de vue sur les projets financés par l’institution.</w:t>
      </w:r>
    </w:p>
    <w:p w14:paraId="04F6C4F2" w14:textId="1C4CDCC2" w:rsidR="0083496A" w:rsidRPr="00AB7F24" w:rsidRDefault="0083496A" w:rsidP="00AB7F24">
      <w:pPr>
        <w:spacing w:line="276" w:lineRule="auto"/>
        <w:jc w:val="both"/>
        <w:rPr>
          <w:rFonts w:asciiTheme="majorBidi" w:hAnsiTheme="majorBidi" w:cstheme="majorBidi"/>
          <w:sz w:val="24"/>
          <w:szCs w:val="24"/>
        </w:rPr>
      </w:pPr>
      <w:r w:rsidRPr="00AB7F24">
        <w:rPr>
          <w:rFonts w:asciiTheme="majorBidi" w:hAnsiTheme="majorBidi" w:cstheme="majorBidi"/>
          <w:b/>
          <w:bCs/>
          <w:sz w:val="24"/>
          <w:szCs w:val="24"/>
        </w:rPr>
        <w:t>Tableau 1 : Tableau récapitulatif du PMPP  </w:t>
      </w:r>
    </w:p>
    <w:tbl>
      <w:tblPr>
        <w:tblStyle w:val="GridTable4-Accent1"/>
        <w:tblW w:w="0" w:type="auto"/>
        <w:tblLook w:val="04A0" w:firstRow="1" w:lastRow="0" w:firstColumn="1" w:lastColumn="0" w:noHBand="0" w:noVBand="1"/>
      </w:tblPr>
      <w:tblGrid>
        <w:gridCol w:w="1136"/>
        <w:gridCol w:w="1809"/>
        <w:gridCol w:w="1554"/>
        <w:gridCol w:w="1566"/>
        <w:gridCol w:w="1545"/>
        <w:gridCol w:w="1442"/>
      </w:tblGrid>
      <w:tr w:rsidR="5D039E87" w:rsidRPr="00AB7F24" w14:paraId="387562A9" w14:textId="77777777" w:rsidTr="6C5C086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20" w:type="dxa"/>
            <w:tcBorders>
              <w:top w:val="single" w:sz="8" w:space="0" w:color="156082" w:themeColor="accent1"/>
              <w:left w:val="single" w:sz="8" w:space="0" w:color="156082" w:themeColor="accent1"/>
              <w:bottom w:val="single" w:sz="8" w:space="0" w:color="156082" w:themeColor="accent1"/>
            </w:tcBorders>
            <w:tcMar>
              <w:left w:w="108" w:type="dxa"/>
              <w:right w:w="108" w:type="dxa"/>
            </w:tcMar>
          </w:tcPr>
          <w:p w14:paraId="008F9952" w14:textId="02051E1C" w:rsidR="5D039E87" w:rsidRPr="00530F83" w:rsidRDefault="5D039E87" w:rsidP="00AB7F24">
            <w:pPr>
              <w:spacing w:after="160" w:line="276" w:lineRule="auto"/>
              <w:jc w:val="both"/>
              <w:rPr>
                <w:rFonts w:asciiTheme="majorBidi" w:eastAsia="Aptos" w:hAnsiTheme="majorBidi" w:cstheme="majorBidi"/>
                <w:sz w:val="18"/>
                <w:szCs w:val="18"/>
                <w:lang w:val="fr"/>
              </w:rPr>
            </w:pPr>
            <w:r w:rsidRPr="00530F83">
              <w:rPr>
                <w:rFonts w:asciiTheme="majorBidi" w:eastAsia="Aptos" w:hAnsiTheme="majorBidi" w:cstheme="majorBidi"/>
                <w:sz w:val="18"/>
                <w:szCs w:val="18"/>
                <w:lang w:val="fr"/>
              </w:rPr>
              <w:t>Étape / activité</w:t>
            </w:r>
          </w:p>
        </w:tc>
        <w:tc>
          <w:tcPr>
            <w:tcW w:w="1964" w:type="dxa"/>
            <w:tcBorders>
              <w:top w:val="single" w:sz="8" w:space="0" w:color="156082" w:themeColor="accent1"/>
              <w:bottom w:val="single" w:sz="8" w:space="0" w:color="156082" w:themeColor="accent1"/>
            </w:tcBorders>
            <w:tcMar>
              <w:left w:w="108" w:type="dxa"/>
              <w:right w:w="108" w:type="dxa"/>
            </w:tcMar>
          </w:tcPr>
          <w:p w14:paraId="583DC901" w14:textId="5C26EB84" w:rsidR="5D039E87" w:rsidRPr="00530F83" w:rsidRDefault="5D039E87" w:rsidP="00AB7F24">
            <w:pPr>
              <w:spacing w:after="160" w:line="276" w:lineRule="auto"/>
              <w:jc w:val="both"/>
              <w:cnfStyle w:val="100000000000" w:firstRow="1" w:lastRow="0" w:firstColumn="0" w:lastColumn="0" w:oddVBand="0" w:evenVBand="0" w:oddHBand="0" w:evenHBand="0" w:firstRowFirstColumn="0" w:firstRowLastColumn="0" w:lastRowFirstColumn="0" w:lastRowLastColumn="0"/>
              <w:rPr>
                <w:rFonts w:asciiTheme="majorBidi" w:eastAsia="Aptos" w:hAnsiTheme="majorBidi" w:cstheme="majorBidi"/>
                <w:b w:val="0"/>
                <w:bCs w:val="0"/>
                <w:sz w:val="18"/>
                <w:szCs w:val="18"/>
                <w:lang w:val="fr"/>
              </w:rPr>
            </w:pPr>
            <w:r w:rsidRPr="00530F83">
              <w:rPr>
                <w:rFonts w:asciiTheme="majorBidi" w:eastAsia="Aptos" w:hAnsiTheme="majorBidi" w:cstheme="majorBidi"/>
                <w:sz w:val="18"/>
                <w:szCs w:val="18"/>
                <w:lang w:val="fr"/>
              </w:rPr>
              <w:t>Parties prenantes prioritaires</w:t>
            </w:r>
          </w:p>
        </w:tc>
        <w:tc>
          <w:tcPr>
            <w:tcW w:w="1692" w:type="dxa"/>
            <w:tcBorders>
              <w:top w:val="single" w:sz="8" w:space="0" w:color="156082" w:themeColor="accent1"/>
              <w:bottom w:val="single" w:sz="8" w:space="0" w:color="156082" w:themeColor="accent1"/>
            </w:tcBorders>
            <w:tcMar>
              <w:left w:w="108" w:type="dxa"/>
              <w:right w:w="108" w:type="dxa"/>
            </w:tcMar>
          </w:tcPr>
          <w:p w14:paraId="28272130" w14:textId="6CC4C589" w:rsidR="5D039E87" w:rsidRPr="00530F83" w:rsidRDefault="5D039E87" w:rsidP="00AB7F24">
            <w:pPr>
              <w:spacing w:after="160" w:line="276" w:lineRule="auto"/>
              <w:jc w:val="both"/>
              <w:cnfStyle w:val="100000000000" w:firstRow="1" w:lastRow="0" w:firstColumn="0" w:lastColumn="0" w:oddVBand="0" w:evenVBand="0" w:oddHBand="0" w:evenHBand="0" w:firstRowFirstColumn="0" w:firstRowLastColumn="0" w:lastRowFirstColumn="0" w:lastRowLastColumn="0"/>
              <w:rPr>
                <w:rFonts w:asciiTheme="majorBidi" w:eastAsia="Aptos" w:hAnsiTheme="majorBidi" w:cstheme="majorBidi"/>
                <w:b w:val="0"/>
                <w:bCs w:val="0"/>
                <w:sz w:val="18"/>
                <w:szCs w:val="18"/>
                <w:lang w:val="fr"/>
              </w:rPr>
            </w:pPr>
            <w:r w:rsidRPr="00530F83">
              <w:rPr>
                <w:rFonts w:asciiTheme="majorBidi" w:eastAsia="Aptos" w:hAnsiTheme="majorBidi" w:cstheme="majorBidi"/>
                <w:sz w:val="18"/>
                <w:szCs w:val="18"/>
                <w:lang w:val="fr"/>
              </w:rPr>
              <w:t>Informations et objet de la consultation</w:t>
            </w:r>
          </w:p>
        </w:tc>
        <w:tc>
          <w:tcPr>
            <w:tcW w:w="1673" w:type="dxa"/>
            <w:tcBorders>
              <w:top w:val="single" w:sz="8" w:space="0" w:color="156082" w:themeColor="accent1"/>
              <w:bottom w:val="single" w:sz="8" w:space="0" w:color="156082" w:themeColor="accent1"/>
            </w:tcBorders>
            <w:tcMar>
              <w:left w:w="108" w:type="dxa"/>
              <w:right w:w="108" w:type="dxa"/>
            </w:tcMar>
          </w:tcPr>
          <w:p w14:paraId="3C88C623" w14:textId="35F928F8" w:rsidR="5D039E87" w:rsidRPr="00530F83" w:rsidRDefault="5D039E87" w:rsidP="00AB7F24">
            <w:pPr>
              <w:spacing w:after="160" w:line="276" w:lineRule="auto"/>
              <w:jc w:val="both"/>
              <w:cnfStyle w:val="100000000000" w:firstRow="1" w:lastRow="0" w:firstColumn="0" w:lastColumn="0" w:oddVBand="0" w:evenVBand="0" w:oddHBand="0" w:evenHBand="0" w:firstRowFirstColumn="0" w:firstRowLastColumn="0" w:lastRowFirstColumn="0" w:lastRowLastColumn="0"/>
              <w:rPr>
                <w:rFonts w:asciiTheme="majorBidi" w:eastAsia="Aptos" w:hAnsiTheme="majorBidi" w:cstheme="majorBidi"/>
                <w:b w:val="0"/>
                <w:bCs w:val="0"/>
                <w:sz w:val="18"/>
                <w:szCs w:val="18"/>
                <w:lang w:val="fr"/>
              </w:rPr>
            </w:pPr>
            <w:r w:rsidRPr="00530F83">
              <w:rPr>
                <w:rFonts w:asciiTheme="majorBidi" w:eastAsia="Aptos" w:hAnsiTheme="majorBidi" w:cstheme="majorBidi"/>
                <w:sz w:val="18"/>
                <w:szCs w:val="18"/>
                <w:lang w:val="fr"/>
              </w:rPr>
              <w:t>Méthodes et accessibilité</w:t>
            </w:r>
          </w:p>
        </w:tc>
        <w:tc>
          <w:tcPr>
            <w:tcW w:w="1266" w:type="dxa"/>
            <w:tcBorders>
              <w:top w:val="single" w:sz="8" w:space="0" w:color="156082" w:themeColor="accent1"/>
              <w:bottom w:val="single" w:sz="8" w:space="0" w:color="156082" w:themeColor="accent1"/>
            </w:tcBorders>
            <w:tcMar>
              <w:left w:w="108" w:type="dxa"/>
              <w:right w:w="108" w:type="dxa"/>
            </w:tcMar>
          </w:tcPr>
          <w:p w14:paraId="614286E6" w14:textId="0FDA071C" w:rsidR="5D039E87" w:rsidRPr="00530F83" w:rsidRDefault="5D039E87" w:rsidP="00AB7F24">
            <w:pPr>
              <w:spacing w:after="160" w:line="276" w:lineRule="auto"/>
              <w:jc w:val="both"/>
              <w:cnfStyle w:val="100000000000" w:firstRow="1" w:lastRow="0" w:firstColumn="0" w:lastColumn="0" w:oddVBand="0" w:evenVBand="0" w:oddHBand="0" w:evenHBand="0" w:firstRowFirstColumn="0" w:firstRowLastColumn="0" w:lastRowFirstColumn="0" w:lastRowLastColumn="0"/>
              <w:rPr>
                <w:rFonts w:asciiTheme="majorBidi" w:eastAsia="Aptos" w:hAnsiTheme="majorBidi" w:cstheme="majorBidi"/>
                <w:b w:val="0"/>
                <w:bCs w:val="0"/>
                <w:sz w:val="18"/>
                <w:szCs w:val="18"/>
                <w:lang w:val="fr"/>
              </w:rPr>
            </w:pPr>
            <w:r w:rsidRPr="00530F83">
              <w:rPr>
                <w:rFonts w:asciiTheme="majorBidi" w:eastAsia="Aptos" w:hAnsiTheme="majorBidi" w:cstheme="majorBidi"/>
                <w:sz w:val="18"/>
                <w:szCs w:val="18"/>
                <w:lang w:val="fr"/>
              </w:rPr>
              <w:t>Calendrier / fréquence</w:t>
            </w:r>
          </w:p>
        </w:tc>
        <w:tc>
          <w:tcPr>
            <w:tcW w:w="1545" w:type="dxa"/>
            <w:tcBorders>
              <w:top w:val="single" w:sz="8" w:space="0" w:color="156082" w:themeColor="accent1"/>
              <w:bottom w:val="single" w:sz="8" w:space="0" w:color="156082" w:themeColor="accent1"/>
              <w:right w:val="single" w:sz="8" w:space="0" w:color="156082" w:themeColor="accent1"/>
            </w:tcBorders>
            <w:tcMar>
              <w:left w:w="108" w:type="dxa"/>
              <w:right w:w="108" w:type="dxa"/>
            </w:tcMar>
          </w:tcPr>
          <w:p w14:paraId="53781238" w14:textId="1C86B158" w:rsidR="5D039E87" w:rsidRPr="00530F83" w:rsidRDefault="5D039E87" w:rsidP="00AB7F24">
            <w:pPr>
              <w:spacing w:after="160" w:line="276" w:lineRule="auto"/>
              <w:jc w:val="both"/>
              <w:cnfStyle w:val="100000000000" w:firstRow="1" w:lastRow="0" w:firstColumn="0" w:lastColumn="0" w:oddVBand="0" w:evenVBand="0" w:oddHBand="0" w:evenHBand="0" w:firstRowFirstColumn="0" w:firstRowLastColumn="0" w:lastRowFirstColumn="0" w:lastRowLastColumn="0"/>
              <w:rPr>
                <w:rFonts w:asciiTheme="majorBidi" w:eastAsia="Aptos" w:hAnsiTheme="majorBidi" w:cstheme="majorBidi"/>
                <w:b w:val="0"/>
                <w:bCs w:val="0"/>
                <w:sz w:val="18"/>
                <w:szCs w:val="18"/>
                <w:lang w:val="fr"/>
              </w:rPr>
            </w:pPr>
            <w:r w:rsidRPr="00530F83">
              <w:rPr>
                <w:rFonts w:asciiTheme="majorBidi" w:eastAsia="Aptos" w:hAnsiTheme="majorBidi" w:cstheme="majorBidi"/>
                <w:sz w:val="18"/>
                <w:szCs w:val="18"/>
                <w:lang w:val="fr"/>
              </w:rPr>
              <w:t>Responsables et preuves</w:t>
            </w:r>
          </w:p>
        </w:tc>
      </w:tr>
      <w:tr w:rsidR="5D039E87" w:rsidRPr="00AB7F24" w14:paraId="3B7C1039" w14:textId="77777777" w:rsidTr="6C5C086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20" w:type="dxa"/>
            <w:tcBorders>
              <w:top w:val="single" w:sz="8" w:space="0" w:color="156082" w:themeColor="accent1"/>
              <w:left w:val="single" w:sz="8" w:space="0" w:color="45B0E1" w:themeColor="accent1" w:themeTint="99"/>
              <w:bottom w:val="single" w:sz="8" w:space="0" w:color="45B0E1" w:themeColor="accent1" w:themeTint="99"/>
              <w:right w:val="single" w:sz="8" w:space="0" w:color="45B0E1" w:themeColor="accent1" w:themeTint="99"/>
            </w:tcBorders>
            <w:tcMar>
              <w:left w:w="108" w:type="dxa"/>
              <w:right w:w="108" w:type="dxa"/>
            </w:tcMar>
          </w:tcPr>
          <w:p w14:paraId="5D4BE806" w14:textId="402D233F" w:rsidR="5D039E87" w:rsidRPr="00530F83" w:rsidRDefault="5D039E87" w:rsidP="00AB7F24">
            <w:pPr>
              <w:spacing w:after="160" w:line="276" w:lineRule="auto"/>
              <w:jc w:val="both"/>
              <w:rPr>
                <w:rFonts w:asciiTheme="majorBidi" w:eastAsia="Aptos" w:hAnsiTheme="majorBidi" w:cstheme="majorBidi"/>
                <w:color w:val="000000" w:themeColor="text1"/>
                <w:sz w:val="18"/>
                <w:szCs w:val="18"/>
                <w:lang w:val="fr"/>
              </w:rPr>
            </w:pPr>
            <w:r w:rsidRPr="00530F83">
              <w:rPr>
                <w:rFonts w:asciiTheme="majorBidi" w:eastAsia="Aptos" w:hAnsiTheme="majorBidi" w:cstheme="majorBidi"/>
                <w:color w:val="000000" w:themeColor="text1"/>
                <w:sz w:val="18"/>
                <w:szCs w:val="18"/>
                <w:lang w:val="fr"/>
              </w:rPr>
              <w:t>Finalisation du PMPP et cadrage des études</w:t>
            </w:r>
          </w:p>
        </w:tc>
        <w:tc>
          <w:tcPr>
            <w:tcW w:w="1964" w:type="dxa"/>
            <w:tcBorders>
              <w:top w:val="single" w:sz="8" w:space="0" w:color="156082" w:themeColor="accent1"/>
              <w:left w:val="single" w:sz="8" w:space="0" w:color="45B0E1" w:themeColor="accent1" w:themeTint="99"/>
              <w:bottom w:val="single" w:sz="8" w:space="0" w:color="45B0E1" w:themeColor="accent1" w:themeTint="99"/>
              <w:right w:val="single" w:sz="8" w:space="0" w:color="45B0E1" w:themeColor="accent1" w:themeTint="99"/>
            </w:tcBorders>
            <w:tcMar>
              <w:left w:w="108" w:type="dxa"/>
              <w:right w:w="108" w:type="dxa"/>
            </w:tcMar>
          </w:tcPr>
          <w:p w14:paraId="50DBA263" w14:textId="57BD0A23" w:rsidR="5D039E87" w:rsidRPr="00530F83" w:rsidRDefault="5D039E87" w:rsidP="00AB7F24">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heme="majorBidi" w:eastAsia="Aptos" w:hAnsiTheme="majorBidi" w:cstheme="majorBidi"/>
                <w:color w:val="000000" w:themeColor="text1"/>
                <w:sz w:val="18"/>
                <w:szCs w:val="18"/>
                <w:lang w:val="fr"/>
              </w:rPr>
            </w:pPr>
            <w:r w:rsidRPr="00530F83">
              <w:rPr>
                <w:rFonts w:asciiTheme="majorBidi" w:eastAsia="Aptos" w:hAnsiTheme="majorBidi" w:cstheme="majorBidi"/>
                <w:color w:val="000000" w:themeColor="text1"/>
                <w:sz w:val="18"/>
                <w:szCs w:val="18"/>
                <w:lang w:val="fr"/>
              </w:rPr>
              <w:t xml:space="preserve">Communautés des corridors potentiels, pêcheurs, mareyeuses, pasteurs, usagers des terres, femmes, jeunes, personnes </w:t>
            </w:r>
            <w:r w:rsidRPr="00530F83">
              <w:rPr>
                <w:rFonts w:asciiTheme="majorBidi" w:eastAsia="Aptos" w:hAnsiTheme="majorBidi" w:cstheme="majorBidi"/>
                <w:color w:val="000000" w:themeColor="text1"/>
                <w:sz w:val="18"/>
                <w:szCs w:val="18"/>
                <w:lang w:val="fr"/>
              </w:rPr>
              <w:lastRenderedPageBreak/>
              <w:t>handicapées, autorités locales, OSC</w:t>
            </w:r>
          </w:p>
        </w:tc>
        <w:tc>
          <w:tcPr>
            <w:tcW w:w="1692" w:type="dxa"/>
            <w:tcBorders>
              <w:top w:val="single" w:sz="8" w:space="0" w:color="156082" w:themeColor="accent1"/>
              <w:left w:val="single" w:sz="8" w:space="0" w:color="45B0E1" w:themeColor="accent1" w:themeTint="99"/>
              <w:bottom w:val="single" w:sz="8" w:space="0" w:color="45B0E1" w:themeColor="accent1" w:themeTint="99"/>
              <w:right w:val="single" w:sz="8" w:space="0" w:color="45B0E1" w:themeColor="accent1" w:themeTint="99"/>
            </w:tcBorders>
            <w:tcMar>
              <w:left w:w="108" w:type="dxa"/>
              <w:right w:w="108" w:type="dxa"/>
            </w:tcMar>
          </w:tcPr>
          <w:p w14:paraId="03587DE4" w14:textId="4F6941D2" w:rsidR="5D039E87" w:rsidRPr="00530F83" w:rsidRDefault="5D039E87" w:rsidP="00AB7F24">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heme="majorBidi" w:eastAsia="Aptos" w:hAnsiTheme="majorBidi" w:cstheme="majorBidi"/>
                <w:color w:val="000000" w:themeColor="text1"/>
                <w:sz w:val="18"/>
                <w:szCs w:val="18"/>
              </w:rPr>
            </w:pPr>
            <w:r w:rsidRPr="00530F83">
              <w:rPr>
                <w:rFonts w:asciiTheme="majorBidi" w:eastAsia="Aptos" w:hAnsiTheme="majorBidi" w:cstheme="majorBidi"/>
                <w:color w:val="000000" w:themeColor="text1"/>
                <w:sz w:val="18"/>
                <w:szCs w:val="18"/>
              </w:rPr>
              <w:lastRenderedPageBreak/>
              <w:t>Objectifs, activités, scénarios, risques en aval, alternatives, TdR des FEED/EIES, MGP et mesures d’inclusion</w:t>
            </w:r>
          </w:p>
        </w:tc>
        <w:tc>
          <w:tcPr>
            <w:tcW w:w="1673" w:type="dxa"/>
            <w:tcBorders>
              <w:top w:val="single" w:sz="8" w:space="0" w:color="156082" w:themeColor="accent1"/>
              <w:left w:val="single" w:sz="8" w:space="0" w:color="45B0E1" w:themeColor="accent1" w:themeTint="99"/>
              <w:bottom w:val="single" w:sz="8" w:space="0" w:color="45B0E1" w:themeColor="accent1" w:themeTint="99"/>
              <w:right w:val="single" w:sz="8" w:space="0" w:color="45B0E1" w:themeColor="accent1" w:themeTint="99"/>
            </w:tcBorders>
            <w:tcMar>
              <w:left w:w="108" w:type="dxa"/>
              <w:right w:w="108" w:type="dxa"/>
            </w:tcMar>
          </w:tcPr>
          <w:p w14:paraId="32DDE94C" w14:textId="2F978DAE" w:rsidR="5D039E87" w:rsidRPr="00530F83" w:rsidRDefault="5D039E87" w:rsidP="00AB7F24">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heme="majorBidi" w:eastAsia="Aptos" w:hAnsiTheme="majorBidi" w:cstheme="majorBidi"/>
                <w:color w:val="000000" w:themeColor="text1"/>
                <w:sz w:val="18"/>
                <w:szCs w:val="18"/>
                <w:lang w:val="fr"/>
              </w:rPr>
            </w:pPr>
            <w:r w:rsidRPr="00530F83">
              <w:rPr>
                <w:rFonts w:asciiTheme="majorBidi" w:eastAsia="Aptos" w:hAnsiTheme="majorBidi" w:cstheme="majorBidi"/>
                <w:color w:val="000000" w:themeColor="text1"/>
                <w:sz w:val="18"/>
                <w:szCs w:val="18"/>
                <w:lang w:val="fr"/>
              </w:rPr>
              <w:t xml:space="preserve">Réunions locales, groupes séparés, entretiens, cartes simplifiées, français et langues nationales pertinentes, </w:t>
            </w:r>
            <w:r w:rsidRPr="00530F83">
              <w:rPr>
                <w:rFonts w:asciiTheme="majorBidi" w:eastAsia="Aptos" w:hAnsiTheme="majorBidi" w:cstheme="majorBidi"/>
                <w:color w:val="000000" w:themeColor="text1"/>
                <w:sz w:val="18"/>
                <w:szCs w:val="18"/>
                <w:lang w:val="fr"/>
              </w:rPr>
              <w:lastRenderedPageBreak/>
              <w:t>supports oraux et visuels</w:t>
            </w:r>
          </w:p>
        </w:tc>
        <w:tc>
          <w:tcPr>
            <w:tcW w:w="1266" w:type="dxa"/>
            <w:tcBorders>
              <w:top w:val="single" w:sz="8" w:space="0" w:color="156082" w:themeColor="accent1"/>
              <w:left w:val="single" w:sz="8" w:space="0" w:color="45B0E1" w:themeColor="accent1" w:themeTint="99"/>
              <w:bottom w:val="single" w:sz="8" w:space="0" w:color="45B0E1" w:themeColor="accent1" w:themeTint="99"/>
              <w:right w:val="single" w:sz="8" w:space="0" w:color="45B0E1" w:themeColor="accent1" w:themeTint="99"/>
            </w:tcBorders>
            <w:tcMar>
              <w:left w:w="108" w:type="dxa"/>
              <w:right w:w="108" w:type="dxa"/>
            </w:tcMar>
          </w:tcPr>
          <w:p w14:paraId="4391B106" w14:textId="5D3895EA" w:rsidR="5D039E87" w:rsidRPr="00530F83" w:rsidRDefault="5D039E87" w:rsidP="00AB7F24">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heme="majorBidi" w:eastAsia="Aptos" w:hAnsiTheme="majorBidi" w:cstheme="majorBidi"/>
                <w:color w:val="000000" w:themeColor="text1"/>
                <w:sz w:val="18"/>
                <w:szCs w:val="18"/>
              </w:rPr>
            </w:pPr>
            <w:r w:rsidRPr="00530F83">
              <w:rPr>
                <w:rFonts w:asciiTheme="majorBidi" w:eastAsia="Aptos" w:hAnsiTheme="majorBidi" w:cstheme="majorBidi"/>
                <w:color w:val="000000" w:themeColor="text1"/>
                <w:sz w:val="18"/>
                <w:szCs w:val="18"/>
              </w:rPr>
              <w:lastRenderedPageBreak/>
              <w:t>Avant finalisation et publication du PMPP et avant approbation des TdR concernés</w:t>
            </w:r>
          </w:p>
        </w:tc>
        <w:tc>
          <w:tcPr>
            <w:tcW w:w="1545" w:type="dxa"/>
            <w:tcBorders>
              <w:top w:val="single" w:sz="8" w:space="0" w:color="156082" w:themeColor="accent1"/>
              <w:left w:val="single" w:sz="8" w:space="0" w:color="45B0E1" w:themeColor="accent1" w:themeTint="99"/>
              <w:bottom w:val="single" w:sz="8" w:space="0" w:color="45B0E1" w:themeColor="accent1" w:themeTint="99"/>
              <w:right w:val="single" w:sz="8" w:space="0" w:color="45B0E1" w:themeColor="accent1" w:themeTint="99"/>
            </w:tcBorders>
            <w:tcMar>
              <w:left w:w="108" w:type="dxa"/>
              <w:right w:w="108" w:type="dxa"/>
            </w:tcMar>
          </w:tcPr>
          <w:p w14:paraId="7118D349" w14:textId="2A3E5661" w:rsidR="5D039E87" w:rsidRPr="00530F83" w:rsidRDefault="5D039E87" w:rsidP="00AB7F24">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heme="majorBidi" w:eastAsia="Aptos" w:hAnsiTheme="majorBidi" w:cstheme="majorBidi"/>
                <w:color w:val="000000" w:themeColor="text1"/>
                <w:sz w:val="18"/>
                <w:szCs w:val="18"/>
                <w:lang w:val="fr"/>
              </w:rPr>
            </w:pPr>
            <w:r w:rsidRPr="00530F83">
              <w:rPr>
                <w:rFonts w:asciiTheme="majorBidi" w:eastAsia="Aptos" w:hAnsiTheme="majorBidi" w:cstheme="majorBidi"/>
                <w:color w:val="000000" w:themeColor="text1"/>
                <w:sz w:val="18"/>
                <w:szCs w:val="18"/>
                <w:lang w:val="fr"/>
              </w:rPr>
              <w:t xml:space="preserve">UGP-MEP avec UGP-SOMELEC selon les activités ; PV, listes, photos avec consentement, matrice </w:t>
            </w:r>
            <w:r w:rsidRPr="00530F83">
              <w:rPr>
                <w:rFonts w:asciiTheme="majorBidi" w:eastAsia="Aptos" w:hAnsiTheme="majorBidi" w:cstheme="majorBidi"/>
                <w:color w:val="000000" w:themeColor="text1"/>
                <w:sz w:val="18"/>
                <w:szCs w:val="18"/>
                <w:lang w:val="fr"/>
              </w:rPr>
              <w:lastRenderedPageBreak/>
              <w:t>commentaires-réponses</w:t>
            </w:r>
          </w:p>
        </w:tc>
      </w:tr>
      <w:tr w:rsidR="5D039E87" w:rsidRPr="00AB7F24" w14:paraId="577B6CDF" w14:textId="77777777" w:rsidTr="6C5C086F">
        <w:trPr>
          <w:trHeight w:val="300"/>
        </w:trPr>
        <w:tc>
          <w:tcPr>
            <w:cnfStyle w:val="001000000000" w:firstRow="0" w:lastRow="0" w:firstColumn="1" w:lastColumn="0" w:oddVBand="0" w:evenVBand="0" w:oddHBand="0" w:evenHBand="0" w:firstRowFirstColumn="0" w:firstRowLastColumn="0" w:lastRowFirstColumn="0" w:lastRowLastColumn="0"/>
            <w:tcW w:w="920" w:type="dxa"/>
            <w:tcBorders>
              <w:top w:val="single" w:sz="8" w:space="0" w:color="45B0E1" w:themeColor="accent1" w:themeTint="99"/>
              <w:left w:val="single" w:sz="8" w:space="0" w:color="45B0E1" w:themeColor="accent1" w:themeTint="99"/>
              <w:bottom w:val="single" w:sz="8" w:space="0" w:color="45B0E1" w:themeColor="accent1" w:themeTint="99"/>
              <w:right w:val="single" w:sz="8" w:space="0" w:color="45B0E1" w:themeColor="accent1" w:themeTint="99"/>
            </w:tcBorders>
            <w:tcMar>
              <w:left w:w="108" w:type="dxa"/>
              <w:right w:w="108" w:type="dxa"/>
            </w:tcMar>
          </w:tcPr>
          <w:p w14:paraId="317B74EA" w14:textId="5EC1AD64" w:rsidR="5D039E87" w:rsidRPr="00530F83" w:rsidRDefault="5D039E87" w:rsidP="00AB7F24">
            <w:pPr>
              <w:spacing w:after="160" w:line="276" w:lineRule="auto"/>
              <w:jc w:val="both"/>
              <w:rPr>
                <w:rFonts w:asciiTheme="majorBidi" w:eastAsia="Aptos" w:hAnsiTheme="majorBidi" w:cstheme="majorBidi"/>
                <w:sz w:val="18"/>
                <w:szCs w:val="18"/>
                <w:lang w:val="fr"/>
              </w:rPr>
            </w:pPr>
            <w:r w:rsidRPr="00530F83">
              <w:rPr>
                <w:rFonts w:asciiTheme="majorBidi" w:eastAsia="Aptos" w:hAnsiTheme="majorBidi" w:cstheme="majorBidi"/>
                <w:sz w:val="18"/>
                <w:szCs w:val="18"/>
                <w:lang w:val="fr"/>
              </w:rPr>
              <w:lastRenderedPageBreak/>
              <w:t>Pré-FEED, FEED, EIES et analyse des alternatives</w:t>
            </w:r>
          </w:p>
        </w:tc>
        <w:tc>
          <w:tcPr>
            <w:tcW w:w="1964" w:type="dxa"/>
            <w:tcBorders>
              <w:top w:val="single" w:sz="8" w:space="0" w:color="45B0E1" w:themeColor="accent1" w:themeTint="99"/>
              <w:left w:val="single" w:sz="8" w:space="0" w:color="45B0E1" w:themeColor="accent1" w:themeTint="99"/>
              <w:bottom w:val="single" w:sz="8" w:space="0" w:color="45B0E1" w:themeColor="accent1" w:themeTint="99"/>
              <w:right w:val="single" w:sz="8" w:space="0" w:color="45B0E1" w:themeColor="accent1" w:themeTint="99"/>
            </w:tcBorders>
            <w:tcMar>
              <w:left w:w="108" w:type="dxa"/>
              <w:right w:w="108" w:type="dxa"/>
            </w:tcMar>
          </w:tcPr>
          <w:p w14:paraId="30E0A6DC" w14:textId="633855E8" w:rsidR="5D039E87" w:rsidRPr="00530F83" w:rsidRDefault="5D039E87" w:rsidP="00AB7F24">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heme="majorBidi" w:eastAsia="Aptos" w:hAnsiTheme="majorBidi" w:cstheme="majorBidi"/>
                <w:sz w:val="18"/>
                <w:szCs w:val="18"/>
                <w:lang w:val="fr"/>
              </w:rPr>
            </w:pPr>
            <w:r w:rsidRPr="00530F83">
              <w:rPr>
                <w:rFonts w:asciiTheme="majorBidi" w:eastAsia="Aptos" w:hAnsiTheme="majorBidi" w:cstheme="majorBidi"/>
                <w:sz w:val="18"/>
                <w:szCs w:val="18"/>
                <w:lang w:val="fr"/>
              </w:rPr>
              <w:t>Parties touchées par chaque option, autorités techniques, environnementales et territoriales, OSC, opérateurs</w:t>
            </w:r>
          </w:p>
        </w:tc>
        <w:tc>
          <w:tcPr>
            <w:tcW w:w="1692" w:type="dxa"/>
            <w:tcBorders>
              <w:top w:val="single" w:sz="8" w:space="0" w:color="45B0E1" w:themeColor="accent1" w:themeTint="99"/>
              <w:left w:val="single" w:sz="8" w:space="0" w:color="45B0E1" w:themeColor="accent1" w:themeTint="99"/>
              <w:bottom w:val="single" w:sz="8" w:space="0" w:color="45B0E1" w:themeColor="accent1" w:themeTint="99"/>
              <w:right w:val="single" w:sz="8" w:space="0" w:color="45B0E1" w:themeColor="accent1" w:themeTint="99"/>
            </w:tcBorders>
            <w:tcMar>
              <w:left w:w="108" w:type="dxa"/>
              <w:right w:w="108" w:type="dxa"/>
            </w:tcMar>
          </w:tcPr>
          <w:p w14:paraId="27B8A8A8" w14:textId="55C80FAD" w:rsidR="5D039E87" w:rsidRPr="00530F83" w:rsidRDefault="5D039E87" w:rsidP="00AB7F24">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heme="majorBidi" w:eastAsia="Aptos" w:hAnsiTheme="majorBidi" w:cstheme="majorBidi"/>
                <w:sz w:val="18"/>
                <w:szCs w:val="18"/>
                <w:lang w:val="fr"/>
              </w:rPr>
            </w:pPr>
            <w:r w:rsidRPr="00530F83">
              <w:rPr>
                <w:rFonts w:asciiTheme="majorBidi" w:eastAsia="Aptos" w:hAnsiTheme="majorBidi" w:cstheme="majorBidi"/>
                <w:sz w:val="18"/>
                <w:szCs w:val="18"/>
                <w:lang w:val="fr"/>
              </w:rPr>
              <w:t>Options de tracé et de site, emprises, sécurité, terres, moyens de subsistance, impacts cumulés, mesures d’évitement et d’atténuation</w:t>
            </w:r>
          </w:p>
        </w:tc>
        <w:tc>
          <w:tcPr>
            <w:tcW w:w="1673" w:type="dxa"/>
            <w:tcBorders>
              <w:top w:val="single" w:sz="8" w:space="0" w:color="45B0E1" w:themeColor="accent1" w:themeTint="99"/>
              <w:left w:val="single" w:sz="8" w:space="0" w:color="45B0E1" w:themeColor="accent1" w:themeTint="99"/>
              <w:bottom w:val="single" w:sz="8" w:space="0" w:color="45B0E1" w:themeColor="accent1" w:themeTint="99"/>
              <w:right w:val="single" w:sz="8" w:space="0" w:color="45B0E1" w:themeColor="accent1" w:themeTint="99"/>
            </w:tcBorders>
            <w:tcMar>
              <w:left w:w="108" w:type="dxa"/>
              <w:right w:w="108" w:type="dxa"/>
            </w:tcMar>
          </w:tcPr>
          <w:p w14:paraId="2DD4E1F7" w14:textId="0F7A6585" w:rsidR="5D039E87" w:rsidRPr="00530F83" w:rsidRDefault="5D039E87" w:rsidP="00AB7F24">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heme="majorBidi" w:eastAsia="Aptos" w:hAnsiTheme="majorBidi" w:cstheme="majorBidi"/>
                <w:sz w:val="18"/>
                <w:szCs w:val="18"/>
                <w:lang w:val="fr"/>
              </w:rPr>
            </w:pPr>
            <w:r w:rsidRPr="00530F83">
              <w:rPr>
                <w:rFonts w:asciiTheme="majorBidi" w:eastAsia="Aptos" w:hAnsiTheme="majorBidi" w:cstheme="majorBidi"/>
                <w:sz w:val="18"/>
                <w:szCs w:val="18"/>
                <w:lang w:val="fr"/>
              </w:rPr>
              <w:t>Ateliers techniques, visites de terrain, focus groups, consultations communautaires et restitutions locales</w:t>
            </w:r>
          </w:p>
        </w:tc>
        <w:tc>
          <w:tcPr>
            <w:tcW w:w="1266" w:type="dxa"/>
            <w:tcBorders>
              <w:top w:val="single" w:sz="8" w:space="0" w:color="45B0E1" w:themeColor="accent1" w:themeTint="99"/>
              <w:left w:val="single" w:sz="8" w:space="0" w:color="45B0E1" w:themeColor="accent1" w:themeTint="99"/>
              <w:bottom w:val="single" w:sz="8" w:space="0" w:color="45B0E1" w:themeColor="accent1" w:themeTint="99"/>
              <w:right w:val="single" w:sz="8" w:space="0" w:color="45B0E1" w:themeColor="accent1" w:themeTint="99"/>
            </w:tcBorders>
            <w:tcMar>
              <w:left w:w="108" w:type="dxa"/>
              <w:right w:w="108" w:type="dxa"/>
            </w:tcMar>
          </w:tcPr>
          <w:p w14:paraId="286F82BD" w14:textId="6FCEAC54" w:rsidR="5D039E87" w:rsidRPr="00530F83" w:rsidRDefault="5D039E87" w:rsidP="00AB7F24">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heme="majorBidi" w:eastAsia="Aptos" w:hAnsiTheme="majorBidi" w:cstheme="majorBidi"/>
                <w:sz w:val="18"/>
                <w:szCs w:val="18"/>
                <w:lang w:val="fr"/>
              </w:rPr>
            </w:pPr>
            <w:r w:rsidRPr="00530F83">
              <w:rPr>
                <w:rFonts w:asciiTheme="majorBidi" w:eastAsia="Aptos" w:hAnsiTheme="majorBidi" w:cstheme="majorBidi"/>
                <w:sz w:val="18"/>
                <w:szCs w:val="18"/>
                <w:lang w:val="fr"/>
              </w:rPr>
              <w:t>Au lancement, aux étapes d’options, sur les projets de rapport et avant validation finale</w:t>
            </w:r>
          </w:p>
        </w:tc>
        <w:tc>
          <w:tcPr>
            <w:tcW w:w="1545" w:type="dxa"/>
            <w:tcBorders>
              <w:top w:val="single" w:sz="8" w:space="0" w:color="45B0E1" w:themeColor="accent1" w:themeTint="99"/>
              <w:left w:val="single" w:sz="8" w:space="0" w:color="45B0E1" w:themeColor="accent1" w:themeTint="99"/>
              <w:bottom w:val="single" w:sz="8" w:space="0" w:color="45B0E1" w:themeColor="accent1" w:themeTint="99"/>
              <w:right w:val="single" w:sz="8" w:space="0" w:color="45B0E1" w:themeColor="accent1" w:themeTint="99"/>
            </w:tcBorders>
            <w:tcMar>
              <w:left w:w="108" w:type="dxa"/>
              <w:right w:w="108" w:type="dxa"/>
            </w:tcMar>
          </w:tcPr>
          <w:p w14:paraId="01802CA0" w14:textId="658655AF" w:rsidR="5D039E87" w:rsidRPr="00530F83" w:rsidRDefault="5D039E87" w:rsidP="00AB7F24">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heme="majorBidi" w:eastAsia="Aptos" w:hAnsiTheme="majorBidi" w:cstheme="majorBidi"/>
                <w:sz w:val="18"/>
                <w:szCs w:val="18"/>
                <w:lang w:val="fr"/>
              </w:rPr>
            </w:pPr>
            <w:r w:rsidRPr="00530F83">
              <w:rPr>
                <w:rFonts w:asciiTheme="majorBidi" w:eastAsia="Aptos" w:hAnsiTheme="majorBidi" w:cstheme="majorBidi"/>
                <w:sz w:val="18"/>
                <w:szCs w:val="18"/>
                <w:lang w:val="fr"/>
              </w:rPr>
              <w:t>Consultants sous supervision des spécialistes E&amp;S des UGP ; rapports de consultation annexés aux livrables</w:t>
            </w:r>
          </w:p>
        </w:tc>
      </w:tr>
      <w:tr w:rsidR="5D039E87" w:rsidRPr="00AB7F24" w14:paraId="0159BD22" w14:textId="77777777" w:rsidTr="6C5C086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20" w:type="dxa"/>
            <w:tcBorders>
              <w:top w:val="single" w:sz="8" w:space="0" w:color="45B0E1" w:themeColor="accent1" w:themeTint="99"/>
              <w:left w:val="single" w:sz="8" w:space="0" w:color="45B0E1" w:themeColor="accent1" w:themeTint="99"/>
              <w:bottom w:val="single" w:sz="8" w:space="0" w:color="45B0E1" w:themeColor="accent1" w:themeTint="99"/>
              <w:right w:val="single" w:sz="8" w:space="0" w:color="45B0E1" w:themeColor="accent1" w:themeTint="99"/>
            </w:tcBorders>
            <w:tcMar>
              <w:left w:w="108" w:type="dxa"/>
              <w:right w:w="108" w:type="dxa"/>
            </w:tcMar>
          </w:tcPr>
          <w:p w14:paraId="64FCDA99" w14:textId="45EE23D2" w:rsidR="5D039E87" w:rsidRPr="00530F83" w:rsidRDefault="5D039E87" w:rsidP="00AB7F24">
            <w:pPr>
              <w:spacing w:after="160" w:line="276" w:lineRule="auto"/>
              <w:jc w:val="both"/>
              <w:rPr>
                <w:rFonts w:asciiTheme="majorBidi" w:eastAsia="Aptos" w:hAnsiTheme="majorBidi" w:cstheme="majorBidi"/>
                <w:color w:val="000000" w:themeColor="text1"/>
                <w:sz w:val="18"/>
                <w:szCs w:val="18"/>
                <w:lang w:val="fr"/>
              </w:rPr>
            </w:pPr>
            <w:r w:rsidRPr="00530F83">
              <w:rPr>
                <w:rFonts w:asciiTheme="majorBidi" w:eastAsia="Aptos" w:hAnsiTheme="majorBidi" w:cstheme="majorBidi"/>
                <w:color w:val="000000" w:themeColor="text1"/>
                <w:sz w:val="18"/>
                <w:szCs w:val="18"/>
                <w:lang w:val="fr"/>
              </w:rPr>
              <w:t>Réformes, plans directeurs, codes de réseau et modèles PPP</w:t>
            </w:r>
          </w:p>
        </w:tc>
        <w:tc>
          <w:tcPr>
            <w:tcW w:w="1964" w:type="dxa"/>
            <w:tcBorders>
              <w:top w:val="single" w:sz="8" w:space="0" w:color="45B0E1" w:themeColor="accent1" w:themeTint="99"/>
              <w:left w:val="single" w:sz="8" w:space="0" w:color="45B0E1" w:themeColor="accent1" w:themeTint="99"/>
              <w:bottom w:val="single" w:sz="8" w:space="0" w:color="45B0E1" w:themeColor="accent1" w:themeTint="99"/>
              <w:right w:val="single" w:sz="8" w:space="0" w:color="45B0E1" w:themeColor="accent1" w:themeTint="99"/>
            </w:tcBorders>
            <w:tcMar>
              <w:left w:w="108" w:type="dxa"/>
              <w:right w:w="108" w:type="dxa"/>
            </w:tcMar>
          </w:tcPr>
          <w:p w14:paraId="4A4981E3" w14:textId="0F0D0D25" w:rsidR="5D039E87" w:rsidRPr="00530F83" w:rsidRDefault="5D039E87" w:rsidP="00AB7F24">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heme="majorBidi" w:eastAsia="Aptos" w:hAnsiTheme="majorBidi" w:cstheme="majorBidi"/>
                <w:color w:val="000000" w:themeColor="text1"/>
                <w:sz w:val="18"/>
                <w:szCs w:val="18"/>
                <w:lang w:val="fr"/>
              </w:rPr>
            </w:pPr>
            <w:r w:rsidRPr="00530F83">
              <w:rPr>
                <w:rFonts w:asciiTheme="majorBidi" w:eastAsia="Aptos" w:hAnsiTheme="majorBidi" w:cstheme="majorBidi"/>
                <w:color w:val="000000" w:themeColor="text1"/>
                <w:sz w:val="18"/>
                <w:szCs w:val="18"/>
                <w:lang w:val="fr"/>
              </w:rPr>
              <w:t>Ministères, ARE, SMH, SOMELEC, secteur privé, travailleurs, syndicats, consommateurs, universités, OSC et PTF</w:t>
            </w:r>
          </w:p>
        </w:tc>
        <w:tc>
          <w:tcPr>
            <w:tcW w:w="1692" w:type="dxa"/>
            <w:tcBorders>
              <w:top w:val="single" w:sz="8" w:space="0" w:color="45B0E1" w:themeColor="accent1" w:themeTint="99"/>
              <w:left w:val="single" w:sz="8" w:space="0" w:color="45B0E1" w:themeColor="accent1" w:themeTint="99"/>
              <w:bottom w:val="single" w:sz="8" w:space="0" w:color="45B0E1" w:themeColor="accent1" w:themeTint="99"/>
              <w:right w:val="single" w:sz="8" w:space="0" w:color="45B0E1" w:themeColor="accent1" w:themeTint="99"/>
            </w:tcBorders>
            <w:tcMar>
              <w:left w:w="108" w:type="dxa"/>
              <w:right w:w="108" w:type="dxa"/>
            </w:tcMar>
          </w:tcPr>
          <w:p w14:paraId="5729B3C2" w14:textId="2CB4CD38" w:rsidR="5D039E87" w:rsidRPr="00530F83" w:rsidRDefault="5D039E87" w:rsidP="00AB7F24">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heme="majorBidi" w:eastAsia="Aptos" w:hAnsiTheme="majorBidi" w:cstheme="majorBidi"/>
                <w:color w:val="000000" w:themeColor="text1"/>
                <w:sz w:val="18"/>
                <w:szCs w:val="18"/>
                <w:lang w:val="fr"/>
              </w:rPr>
            </w:pPr>
            <w:r w:rsidRPr="00530F83">
              <w:rPr>
                <w:rFonts w:asciiTheme="majorBidi" w:eastAsia="Aptos" w:hAnsiTheme="majorBidi" w:cstheme="majorBidi"/>
                <w:color w:val="000000" w:themeColor="text1"/>
                <w:sz w:val="18"/>
                <w:szCs w:val="18"/>
                <w:lang w:val="fr"/>
              </w:rPr>
              <w:t>Implications distributives, accès, tarification, emploi et compétences, gouvernance, transparence, risques E&amp;S et exigences contractuelles</w:t>
            </w:r>
          </w:p>
        </w:tc>
        <w:tc>
          <w:tcPr>
            <w:tcW w:w="1673" w:type="dxa"/>
            <w:tcBorders>
              <w:top w:val="single" w:sz="8" w:space="0" w:color="45B0E1" w:themeColor="accent1" w:themeTint="99"/>
              <w:left w:val="single" w:sz="8" w:space="0" w:color="45B0E1" w:themeColor="accent1" w:themeTint="99"/>
              <w:bottom w:val="single" w:sz="8" w:space="0" w:color="45B0E1" w:themeColor="accent1" w:themeTint="99"/>
              <w:right w:val="single" w:sz="8" w:space="0" w:color="45B0E1" w:themeColor="accent1" w:themeTint="99"/>
            </w:tcBorders>
            <w:tcMar>
              <w:left w:w="108" w:type="dxa"/>
              <w:right w:w="108" w:type="dxa"/>
            </w:tcMar>
          </w:tcPr>
          <w:p w14:paraId="56F3B11C" w14:textId="61EECC26" w:rsidR="5D039E87" w:rsidRPr="00530F83" w:rsidRDefault="5D039E87" w:rsidP="00AB7F24">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heme="majorBidi" w:eastAsia="Aptos" w:hAnsiTheme="majorBidi" w:cstheme="majorBidi"/>
                <w:color w:val="000000" w:themeColor="text1"/>
                <w:sz w:val="18"/>
                <w:szCs w:val="18"/>
                <w:lang w:val="fr"/>
              </w:rPr>
            </w:pPr>
            <w:r w:rsidRPr="00530F83">
              <w:rPr>
                <w:rFonts w:asciiTheme="majorBidi" w:eastAsia="Aptos" w:hAnsiTheme="majorBidi" w:cstheme="majorBidi"/>
                <w:color w:val="000000" w:themeColor="text1"/>
                <w:sz w:val="18"/>
                <w:szCs w:val="18"/>
                <w:lang w:val="fr"/>
              </w:rPr>
              <w:t>Ateliers multi-acteurs, consultations ciblées, publication des documents non confidentiels et réception d’observations écrites</w:t>
            </w:r>
          </w:p>
        </w:tc>
        <w:tc>
          <w:tcPr>
            <w:tcW w:w="1266" w:type="dxa"/>
            <w:tcBorders>
              <w:top w:val="single" w:sz="8" w:space="0" w:color="45B0E1" w:themeColor="accent1" w:themeTint="99"/>
              <w:left w:val="single" w:sz="8" w:space="0" w:color="45B0E1" w:themeColor="accent1" w:themeTint="99"/>
              <w:bottom w:val="single" w:sz="8" w:space="0" w:color="45B0E1" w:themeColor="accent1" w:themeTint="99"/>
              <w:right w:val="single" w:sz="8" w:space="0" w:color="45B0E1" w:themeColor="accent1" w:themeTint="99"/>
            </w:tcBorders>
            <w:tcMar>
              <w:left w:w="108" w:type="dxa"/>
              <w:right w:w="108" w:type="dxa"/>
            </w:tcMar>
          </w:tcPr>
          <w:p w14:paraId="02E28AD1" w14:textId="7FC9DB79" w:rsidR="5D039E87" w:rsidRPr="00530F83" w:rsidRDefault="5D039E87" w:rsidP="00AB7F24">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heme="majorBidi" w:eastAsia="Aptos" w:hAnsiTheme="majorBidi" w:cstheme="majorBidi"/>
                <w:color w:val="000000" w:themeColor="text1"/>
                <w:sz w:val="18"/>
                <w:szCs w:val="18"/>
                <w:lang w:val="fr"/>
              </w:rPr>
            </w:pPr>
            <w:r w:rsidRPr="00530F83">
              <w:rPr>
                <w:rFonts w:asciiTheme="majorBidi" w:eastAsia="Aptos" w:hAnsiTheme="majorBidi" w:cstheme="majorBidi"/>
                <w:color w:val="000000" w:themeColor="text1"/>
                <w:sz w:val="18"/>
                <w:szCs w:val="18"/>
                <w:lang w:val="fr"/>
              </w:rPr>
              <w:t>Avant chaque décision structurante et avant validation des livrables</w:t>
            </w:r>
          </w:p>
        </w:tc>
        <w:tc>
          <w:tcPr>
            <w:tcW w:w="1545" w:type="dxa"/>
            <w:tcBorders>
              <w:top w:val="single" w:sz="8" w:space="0" w:color="45B0E1" w:themeColor="accent1" w:themeTint="99"/>
              <w:left w:val="single" w:sz="8" w:space="0" w:color="45B0E1" w:themeColor="accent1" w:themeTint="99"/>
              <w:bottom w:val="single" w:sz="8" w:space="0" w:color="45B0E1" w:themeColor="accent1" w:themeTint="99"/>
              <w:right w:val="single" w:sz="8" w:space="0" w:color="45B0E1" w:themeColor="accent1" w:themeTint="99"/>
            </w:tcBorders>
            <w:tcMar>
              <w:left w:w="108" w:type="dxa"/>
              <w:right w:w="108" w:type="dxa"/>
            </w:tcMar>
          </w:tcPr>
          <w:p w14:paraId="2E93C07B" w14:textId="71C0AAF9" w:rsidR="5D039E87" w:rsidRPr="00530F83" w:rsidRDefault="5D039E87" w:rsidP="00AB7F24">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heme="majorBidi" w:eastAsia="Aptos" w:hAnsiTheme="majorBidi" w:cstheme="majorBidi"/>
                <w:color w:val="000000" w:themeColor="text1"/>
                <w:sz w:val="18"/>
                <w:szCs w:val="18"/>
                <w:lang w:val="fr"/>
              </w:rPr>
            </w:pPr>
            <w:r w:rsidRPr="00530F83">
              <w:rPr>
                <w:rFonts w:asciiTheme="majorBidi" w:eastAsia="Aptos" w:hAnsiTheme="majorBidi" w:cstheme="majorBidi"/>
                <w:color w:val="000000" w:themeColor="text1"/>
                <w:sz w:val="18"/>
                <w:szCs w:val="18"/>
                <w:lang w:val="fr"/>
              </w:rPr>
              <w:t>UGP compétente et institution chef de file ; rapports et tableau de prise en compte</w:t>
            </w:r>
          </w:p>
        </w:tc>
      </w:tr>
      <w:tr w:rsidR="5D039E87" w:rsidRPr="00AB7F24" w14:paraId="3A25E786" w14:textId="77777777" w:rsidTr="6C5C086F">
        <w:trPr>
          <w:trHeight w:val="300"/>
        </w:trPr>
        <w:tc>
          <w:tcPr>
            <w:cnfStyle w:val="001000000000" w:firstRow="0" w:lastRow="0" w:firstColumn="1" w:lastColumn="0" w:oddVBand="0" w:evenVBand="0" w:oddHBand="0" w:evenHBand="0" w:firstRowFirstColumn="0" w:firstRowLastColumn="0" w:lastRowFirstColumn="0" w:lastRowLastColumn="0"/>
            <w:tcW w:w="920" w:type="dxa"/>
            <w:tcBorders>
              <w:top w:val="single" w:sz="8" w:space="0" w:color="45B0E1" w:themeColor="accent1" w:themeTint="99"/>
              <w:left w:val="single" w:sz="8" w:space="0" w:color="45B0E1" w:themeColor="accent1" w:themeTint="99"/>
              <w:bottom w:val="single" w:sz="8" w:space="0" w:color="45B0E1" w:themeColor="accent1" w:themeTint="99"/>
              <w:right w:val="single" w:sz="8" w:space="0" w:color="45B0E1" w:themeColor="accent1" w:themeTint="99"/>
            </w:tcBorders>
            <w:tcMar>
              <w:left w:w="108" w:type="dxa"/>
              <w:right w:w="108" w:type="dxa"/>
            </w:tcMar>
          </w:tcPr>
          <w:p w14:paraId="3504EAD3" w14:textId="186233A5" w:rsidR="5D039E87" w:rsidRPr="00530F83" w:rsidRDefault="5D039E87" w:rsidP="00AB7F24">
            <w:pPr>
              <w:spacing w:after="160" w:line="276" w:lineRule="auto"/>
              <w:jc w:val="both"/>
              <w:rPr>
                <w:rFonts w:asciiTheme="majorBidi" w:eastAsia="Aptos" w:hAnsiTheme="majorBidi" w:cstheme="majorBidi"/>
                <w:sz w:val="18"/>
                <w:szCs w:val="18"/>
                <w:lang w:val="fr"/>
              </w:rPr>
            </w:pPr>
            <w:r w:rsidRPr="00530F83">
              <w:rPr>
                <w:rFonts w:asciiTheme="majorBidi" w:eastAsia="Aptos" w:hAnsiTheme="majorBidi" w:cstheme="majorBidi"/>
                <w:sz w:val="18"/>
                <w:szCs w:val="18"/>
                <w:lang w:val="fr"/>
              </w:rPr>
              <w:t>Mise en œuvre, suivi et gestion adaptative</w:t>
            </w:r>
          </w:p>
        </w:tc>
        <w:tc>
          <w:tcPr>
            <w:tcW w:w="1964" w:type="dxa"/>
            <w:tcBorders>
              <w:top w:val="single" w:sz="8" w:space="0" w:color="45B0E1" w:themeColor="accent1" w:themeTint="99"/>
              <w:left w:val="single" w:sz="8" w:space="0" w:color="45B0E1" w:themeColor="accent1" w:themeTint="99"/>
              <w:bottom w:val="single" w:sz="8" w:space="0" w:color="45B0E1" w:themeColor="accent1" w:themeTint="99"/>
              <w:right w:val="single" w:sz="8" w:space="0" w:color="45B0E1" w:themeColor="accent1" w:themeTint="99"/>
            </w:tcBorders>
            <w:tcMar>
              <w:left w:w="108" w:type="dxa"/>
              <w:right w:w="108" w:type="dxa"/>
            </w:tcMar>
          </w:tcPr>
          <w:p w14:paraId="26A23E33" w14:textId="741AAEE0" w:rsidR="5D039E87" w:rsidRPr="00530F83" w:rsidRDefault="5D039E87" w:rsidP="00AB7F24">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heme="majorBidi" w:eastAsia="Aptos" w:hAnsiTheme="majorBidi" w:cstheme="majorBidi"/>
                <w:sz w:val="18"/>
                <w:szCs w:val="18"/>
                <w:lang w:val="fr"/>
              </w:rPr>
            </w:pPr>
            <w:r w:rsidRPr="00530F83">
              <w:rPr>
                <w:rFonts w:asciiTheme="majorBidi" w:eastAsia="Aptos" w:hAnsiTheme="majorBidi" w:cstheme="majorBidi"/>
                <w:sz w:val="18"/>
                <w:szCs w:val="18"/>
                <w:lang w:val="fr"/>
              </w:rPr>
              <w:t>Toutes les catégories pertinentes, avec priorité aux parties touchées et vulnérables</w:t>
            </w:r>
          </w:p>
        </w:tc>
        <w:tc>
          <w:tcPr>
            <w:tcW w:w="1692" w:type="dxa"/>
            <w:tcBorders>
              <w:top w:val="single" w:sz="8" w:space="0" w:color="45B0E1" w:themeColor="accent1" w:themeTint="99"/>
              <w:left w:val="single" w:sz="8" w:space="0" w:color="45B0E1" w:themeColor="accent1" w:themeTint="99"/>
              <w:bottom w:val="single" w:sz="8" w:space="0" w:color="45B0E1" w:themeColor="accent1" w:themeTint="99"/>
              <w:right w:val="single" w:sz="8" w:space="0" w:color="45B0E1" w:themeColor="accent1" w:themeTint="99"/>
            </w:tcBorders>
            <w:tcMar>
              <w:left w:w="108" w:type="dxa"/>
              <w:right w:w="108" w:type="dxa"/>
            </w:tcMar>
          </w:tcPr>
          <w:p w14:paraId="13009DC7" w14:textId="418F1700" w:rsidR="5D039E87" w:rsidRPr="00530F83" w:rsidRDefault="5D039E87" w:rsidP="00AB7F24">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heme="majorBidi" w:eastAsia="Aptos" w:hAnsiTheme="majorBidi" w:cstheme="majorBidi"/>
                <w:sz w:val="18"/>
                <w:szCs w:val="18"/>
                <w:lang w:val="fr"/>
              </w:rPr>
            </w:pPr>
            <w:r w:rsidRPr="00530F83">
              <w:rPr>
                <w:rFonts w:asciiTheme="majorBidi" w:eastAsia="Aptos" w:hAnsiTheme="majorBidi" w:cstheme="majorBidi"/>
                <w:sz w:val="18"/>
                <w:szCs w:val="18"/>
                <w:lang w:val="fr"/>
              </w:rPr>
              <w:t>État d’avancement, résultats E&amp;S, incidents, fonctionnement du MGP, décisions et mesures correctives</w:t>
            </w:r>
          </w:p>
        </w:tc>
        <w:tc>
          <w:tcPr>
            <w:tcW w:w="1673" w:type="dxa"/>
            <w:tcBorders>
              <w:top w:val="single" w:sz="8" w:space="0" w:color="45B0E1" w:themeColor="accent1" w:themeTint="99"/>
              <w:left w:val="single" w:sz="8" w:space="0" w:color="45B0E1" w:themeColor="accent1" w:themeTint="99"/>
              <w:bottom w:val="single" w:sz="8" w:space="0" w:color="45B0E1" w:themeColor="accent1" w:themeTint="99"/>
              <w:right w:val="single" w:sz="8" w:space="0" w:color="45B0E1" w:themeColor="accent1" w:themeTint="99"/>
            </w:tcBorders>
            <w:tcMar>
              <w:left w:w="108" w:type="dxa"/>
              <w:right w:w="108" w:type="dxa"/>
            </w:tcMar>
          </w:tcPr>
          <w:p w14:paraId="622D0E6F" w14:textId="00270ABE" w:rsidR="5D039E87" w:rsidRPr="00530F83" w:rsidRDefault="5D039E87" w:rsidP="00AB7F24">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heme="majorBidi" w:eastAsia="Aptos" w:hAnsiTheme="majorBidi" w:cstheme="majorBidi"/>
                <w:sz w:val="18"/>
                <w:szCs w:val="18"/>
                <w:lang w:val="fr"/>
              </w:rPr>
            </w:pPr>
            <w:r w:rsidRPr="00530F83">
              <w:rPr>
                <w:rFonts w:asciiTheme="majorBidi" w:eastAsia="Aptos" w:hAnsiTheme="majorBidi" w:cstheme="majorBidi"/>
                <w:sz w:val="18"/>
                <w:szCs w:val="18"/>
                <w:lang w:val="fr"/>
              </w:rPr>
              <w:t>Réunions périodiques, radios et canaux numériques, affichage local, permanence MGP et restitutions communautaires</w:t>
            </w:r>
          </w:p>
        </w:tc>
        <w:tc>
          <w:tcPr>
            <w:tcW w:w="1266" w:type="dxa"/>
            <w:tcBorders>
              <w:top w:val="single" w:sz="8" w:space="0" w:color="45B0E1" w:themeColor="accent1" w:themeTint="99"/>
              <w:left w:val="single" w:sz="8" w:space="0" w:color="45B0E1" w:themeColor="accent1" w:themeTint="99"/>
              <w:bottom w:val="single" w:sz="8" w:space="0" w:color="45B0E1" w:themeColor="accent1" w:themeTint="99"/>
              <w:right w:val="single" w:sz="8" w:space="0" w:color="45B0E1" w:themeColor="accent1" w:themeTint="99"/>
            </w:tcBorders>
            <w:tcMar>
              <w:left w:w="108" w:type="dxa"/>
              <w:right w:w="108" w:type="dxa"/>
            </w:tcMar>
          </w:tcPr>
          <w:p w14:paraId="4875828C" w14:textId="213FBFFF" w:rsidR="5D039E87" w:rsidRPr="00530F83" w:rsidRDefault="5D039E87" w:rsidP="00AB7F24">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heme="majorBidi" w:eastAsia="Aptos" w:hAnsiTheme="majorBidi" w:cstheme="majorBidi"/>
                <w:sz w:val="18"/>
                <w:szCs w:val="18"/>
                <w:lang w:val="fr"/>
              </w:rPr>
            </w:pPr>
            <w:r w:rsidRPr="00530F83">
              <w:rPr>
                <w:rFonts w:asciiTheme="majorBidi" w:eastAsia="Aptos" w:hAnsiTheme="majorBidi" w:cstheme="majorBidi"/>
                <w:sz w:val="18"/>
                <w:szCs w:val="18"/>
                <w:lang w:val="fr"/>
              </w:rPr>
              <w:t>Trimestriellement, après tout incident significatif et lors de toute modification substantielle</w:t>
            </w:r>
          </w:p>
        </w:tc>
        <w:tc>
          <w:tcPr>
            <w:tcW w:w="1545" w:type="dxa"/>
            <w:tcBorders>
              <w:top w:val="single" w:sz="8" w:space="0" w:color="45B0E1" w:themeColor="accent1" w:themeTint="99"/>
              <w:left w:val="single" w:sz="8" w:space="0" w:color="45B0E1" w:themeColor="accent1" w:themeTint="99"/>
              <w:bottom w:val="single" w:sz="8" w:space="0" w:color="45B0E1" w:themeColor="accent1" w:themeTint="99"/>
              <w:right w:val="single" w:sz="8" w:space="0" w:color="45B0E1" w:themeColor="accent1" w:themeTint="99"/>
            </w:tcBorders>
            <w:tcMar>
              <w:left w:w="108" w:type="dxa"/>
              <w:right w:w="108" w:type="dxa"/>
            </w:tcMar>
          </w:tcPr>
          <w:p w14:paraId="69033DDE" w14:textId="5EEE369F" w:rsidR="5D039E87" w:rsidRPr="00530F83" w:rsidRDefault="5D039E87" w:rsidP="00AB7F24">
            <w:pPr>
              <w:spacing w:after="160" w:line="276" w:lineRule="auto"/>
              <w:jc w:val="both"/>
              <w:cnfStyle w:val="000000000000" w:firstRow="0" w:lastRow="0" w:firstColumn="0" w:lastColumn="0" w:oddVBand="0" w:evenVBand="0" w:oddHBand="0" w:evenHBand="0" w:firstRowFirstColumn="0" w:firstRowLastColumn="0" w:lastRowFirstColumn="0" w:lastRowLastColumn="0"/>
              <w:rPr>
                <w:rFonts w:asciiTheme="majorBidi" w:eastAsia="Aptos" w:hAnsiTheme="majorBidi" w:cstheme="majorBidi"/>
                <w:sz w:val="18"/>
                <w:szCs w:val="18"/>
                <w:lang w:val="fr"/>
              </w:rPr>
            </w:pPr>
            <w:r w:rsidRPr="00530F83">
              <w:rPr>
                <w:rFonts w:asciiTheme="majorBidi" w:eastAsia="Aptos" w:hAnsiTheme="majorBidi" w:cstheme="majorBidi"/>
                <w:sz w:val="18"/>
                <w:szCs w:val="18"/>
                <w:lang w:val="fr"/>
              </w:rPr>
              <w:t>Deux UGP ; rapports trimestriels, tableaux de bord et synthèses publiques</w:t>
            </w:r>
          </w:p>
        </w:tc>
      </w:tr>
      <w:tr w:rsidR="5D039E87" w:rsidRPr="00AB7F24" w14:paraId="23C2380E" w14:textId="77777777" w:rsidTr="6C5C086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20" w:type="dxa"/>
            <w:tcBorders>
              <w:top w:val="single" w:sz="8" w:space="0" w:color="45B0E1" w:themeColor="accent1" w:themeTint="99"/>
              <w:left w:val="single" w:sz="8" w:space="0" w:color="45B0E1" w:themeColor="accent1" w:themeTint="99"/>
              <w:bottom w:val="single" w:sz="8" w:space="0" w:color="45B0E1" w:themeColor="accent1" w:themeTint="99"/>
              <w:right w:val="single" w:sz="8" w:space="0" w:color="45B0E1" w:themeColor="accent1" w:themeTint="99"/>
            </w:tcBorders>
            <w:tcMar>
              <w:left w:w="108" w:type="dxa"/>
              <w:right w:w="108" w:type="dxa"/>
            </w:tcMar>
          </w:tcPr>
          <w:p w14:paraId="56067B95" w14:textId="47ADC987" w:rsidR="5D039E87" w:rsidRPr="00530F83" w:rsidRDefault="5D039E87" w:rsidP="00AB7F24">
            <w:pPr>
              <w:spacing w:after="160" w:line="276" w:lineRule="auto"/>
              <w:jc w:val="both"/>
              <w:rPr>
                <w:rFonts w:asciiTheme="majorBidi" w:eastAsia="Aptos" w:hAnsiTheme="majorBidi" w:cstheme="majorBidi"/>
                <w:color w:val="000000" w:themeColor="text1"/>
                <w:sz w:val="18"/>
                <w:szCs w:val="18"/>
                <w:lang w:val="fr"/>
              </w:rPr>
            </w:pPr>
            <w:r w:rsidRPr="00530F83">
              <w:rPr>
                <w:rFonts w:asciiTheme="majorBidi" w:eastAsia="Aptos" w:hAnsiTheme="majorBidi" w:cstheme="majorBidi"/>
                <w:color w:val="000000" w:themeColor="text1"/>
                <w:sz w:val="18"/>
                <w:szCs w:val="18"/>
                <w:lang w:val="fr"/>
              </w:rPr>
              <w:t>Clôture et préparation de la Phase 2</w:t>
            </w:r>
          </w:p>
        </w:tc>
        <w:tc>
          <w:tcPr>
            <w:tcW w:w="1964" w:type="dxa"/>
            <w:tcBorders>
              <w:top w:val="single" w:sz="8" w:space="0" w:color="45B0E1" w:themeColor="accent1" w:themeTint="99"/>
              <w:left w:val="single" w:sz="8" w:space="0" w:color="45B0E1" w:themeColor="accent1" w:themeTint="99"/>
              <w:bottom w:val="single" w:sz="8" w:space="0" w:color="45B0E1" w:themeColor="accent1" w:themeTint="99"/>
              <w:right w:val="single" w:sz="8" w:space="0" w:color="45B0E1" w:themeColor="accent1" w:themeTint="99"/>
            </w:tcBorders>
            <w:tcMar>
              <w:left w:w="108" w:type="dxa"/>
              <w:right w:w="108" w:type="dxa"/>
            </w:tcMar>
          </w:tcPr>
          <w:p w14:paraId="71CD5A04" w14:textId="7E262EBF" w:rsidR="5D039E87" w:rsidRPr="00530F83" w:rsidRDefault="5D039E87" w:rsidP="00AB7F24">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heme="majorBidi" w:eastAsia="Aptos" w:hAnsiTheme="majorBidi" w:cstheme="majorBidi"/>
                <w:color w:val="000000" w:themeColor="text1"/>
                <w:sz w:val="18"/>
                <w:szCs w:val="18"/>
                <w:lang w:val="fr"/>
              </w:rPr>
            </w:pPr>
            <w:r w:rsidRPr="00530F83">
              <w:rPr>
                <w:rFonts w:asciiTheme="majorBidi" w:eastAsia="Aptos" w:hAnsiTheme="majorBidi" w:cstheme="majorBidi"/>
                <w:color w:val="000000" w:themeColor="text1"/>
                <w:sz w:val="18"/>
                <w:szCs w:val="18"/>
                <w:lang w:val="fr"/>
              </w:rPr>
              <w:t>Parties touchées, autorités, OSC, opérateurs, PTF et bénéficiaires des formations</w:t>
            </w:r>
          </w:p>
        </w:tc>
        <w:tc>
          <w:tcPr>
            <w:tcW w:w="1692" w:type="dxa"/>
            <w:tcBorders>
              <w:top w:val="single" w:sz="8" w:space="0" w:color="45B0E1" w:themeColor="accent1" w:themeTint="99"/>
              <w:left w:val="single" w:sz="8" w:space="0" w:color="45B0E1" w:themeColor="accent1" w:themeTint="99"/>
              <w:bottom w:val="single" w:sz="8" w:space="0" w:color="45B0E1" w:themeColor="accent1" w:themeTint="99"/>
              <w:right w:val="single" w:sz="8" w:space="0" w:color="45B0E1" w:themeColor="accent1" w:themeTint="99"/>
            </w:tcBorders>
            <w:tcMar>
              <w:left w:w="108" w:type="dxa"/>
              <w:right w:w="108" w:type="dxa"/>
            </w:tcMar>
          </w:tcPr>
          <w:p w14:paraId="2687F23C" w14:textId="16BA8205" w:rsidR="5D039E87" w:rsidRPr="00530F83" w:rsidRDefault="5D039E87" w:rsidP="00AB7F24">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heme="majorBidi" w:eastAsia="Aptos" w:hAnsiTheme="majorBidi" w:cstheme="majorBidi"/>
                <w:color w:val="000000" w:themeColor="text1"/>
                <w:sz w:val="18"/>
                <w:szCs w:val="18"/>
                <w:lang w:val="fr"/>
              </w:rPr>
            </w:pPr>
            <w:r w:rsidRPr="00530F83">
              <w:rPr>
                <w:rFonts w:asciiTheme="majorBidi" w:eastAsia="Aptos" w:hAnsiTheme="majorBidi" w:cstheme="majorBidi"/>
                <w:color w:val="000000" w:themeColor="text1"/>
                <w:sz w:val="18"/>
                <w:szCs w:val="18"/>
                <w:lang w:val="fr"/>
              </w:rPr>
              <w:t>Résultats, enseignements, engagements transférés, risques résiduels et conditions de mobilisation de la phase suivante</w:t>
            </w:r>
          </w:p>
        </w:tc>
        <w:tc>
          <w:tcPr>
            <w:tcW w:w="1673" w:type="dxa"/>
            <w:tcBorders>
              <w:top w:val="single" w:sz="8" w:space="0" w:color="45B0E1" w:themeColor="accent1" w:themeTint="99"/>
              <w:left w:val="single" w:sz="8" w:space="0" w:color="45B0E1" w:themeColor="accent1" w:themeTint="99"/>
              <w:bottom w:val="single" w:sz="8" w:space="0" w:color="45B0E1" w:themeColor="accent1" w:themeTint="99"/>
              <w:right w:val="single" w:sz="8" w:space="0" w:color="45B0E1" w:themeColor="accent1" w:themeTint="99"/>
            </w:tcBorders>
            <w:tcMar>
              <w:left w:w="108" w:type="dxa"/>
              <w:right w:w="108" w:type="dxa"/>
            </w:tcMar>
          </w:tcPr>
          <w:p w14:paraId="7839188F" w14:textId="3887A9FB" w:rsidR="5D039E87" w:rsidRPr="00530F83" w:rsidRDefault="5D039E87" w:rsidP="00AB7F24">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heme="majorBidi" w:eastAsia="Aptos" w:hAnsiTheme="majorBidi" w:cstheme="majorBidi"/>
                <w:color w:val="000000" w:themeColor="text1"/>
                <w:sz w:val="18"/>
                <w:szCs w:val="18"/>
                <w:lang w:val="fr"/>
              </w:rPr>
            </w:pPr>
            <w:r w:rsidRPr="00530F83">
              <w:rPr>
                <w:rFonts w:asciiTheme="majorBidi" w:eastAsia="Aptos" w:hAnsiTheme="majorBidi" w:cstheme="majorBidi"/>
                <w:color w:val="000000" w:themeColor="text1"/>
                <w:sz w:val="18"/>
                <w:szCs w:val="18"/>
                <w:lang w:val="fr"/>
              </w:rPr>
              <w:t>Atelier national, restitutions locales et enquête de perception</w:t>
            </w:r>
          </w:p>
        </w:tc>
        <w:tc>
          <w:tcPr>
            <w:tcW w:w="1266" w:type="dxa"/>
            <w:tcBorders>
              <w:top w:val="single" w:sz="8" w:space="0" w:color="45B0E1" w:themeColor="accent1" w:themeTint="99"/>
              <w:left w:val="single" w:sz="8" w:space="0" w:color="45B0E1" w:themeColor="accent1" w:themeTint="99"/>
              <w:bottom w:val="single" w:sz="8" w:space="0" w:color="45B0E1" w:themeColor="accent1" w:themeTint="99"/>
              <w:right w:val="single" w:sz="8" w:space="0" w:color="45B0E1" w:themeColor="accent1" w:themeTint="99"/>
            </w:tcBorders>
            <w:tcMar>
              <w:left w:w="108" w:type="dxa"/>
              <w:right w:w="108" w:type="dxa"/>
            </w:tcMar>
          </w:tcPr>
          <w:p w14:paraId="52A86564" w14:textId="2C13F5C2" w:rsidR="5D039E87" w:rsidRPr="00530F83" w:rsidRDefault="5D039E87" w:rsidP="00AB7F24">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heme="majorBidi" w:eastAsia="Aptos" w:hAnsiTheme="majorBidi" w:cstheme="majorBidi"/>
                <w:color w:val="000000" w:themeColor="text1"/>
                <w:sz w:val="18"/>
                <w:szCs w:val="18"/>
                <w:lang w:val="fr"/>
              </w:rPr>
            </w:pPr>
            <w:r w:rsidRPr="00530F83">
              <w:rPr>
                <w:rFonts w:asciiTheme="majorBidi" w:eastAsia="Aptos" w:hAnsiTheme="majorBidi" w:cstheme="majorBidi"/>
                <w:color w:val="000000" w:themeColor="text1"/>
                <w:sz w:val="18"/>
                <w:szCs w:val="18"/>
                <w:lang w:val="fr"/>
              </w:rPr>
              <w:t>Avant clôture et avant toute décision d’investissement de Phase 2</w:t>
            </w:r>
          </w:p>
        </w:tc>
        <w:tc>
          <w:tcPr>
            <w:tcW w:w="1545" w:type="dxa"/>
            <w:tcBorders>
              <w:top w:val="single" w:sz="8" w:space="0" w:color="45B0E1" w:themeColor="accent1" w:themeTint="99"/>
              <w:left w:val="single" w:sz="8" w:space="0" w:color="45B0E1" w:themeColor="accent1" w:themeTint="99"/>
              <w:bottom w:val="single" w:sz="8" w:space="0" w:color="45B0E1" w:themeColor="accent1" w:themeTint="99"/>
              <w:right w:val="single" w:sz="8" w:space="0" w:color="45B0E1" w:themeColor="accent1" w:themeTint="99"/>
            </w:tcBorders>
            <w:tcMar>
              <w:left w:w="108" w:type="dxa"/>
              <w:right w:w="108" w:type="dxa"/>
            </w:tcMar>
          </w:tcPr>
          <w:p w14:paraId="3A5BD4E3" w14:textId="0A3601CD" w:rsidR="5D039E87" w:rsidRPr="00530F83" w:rsidRDefault="5D039E87" w:rsidP="00AB7F24">
            <w:pPr>
              <w:spacing w:after="160" w:line="276" w:lineRule="auto"/>
              <w:jc w:val="both"/>
              <w:cnfStyle w:val="000000100000" w:firstRow="0" w:lastRow="0" w:firstColumn="0" w:lastColumn="0" w:oddVBand="0" w:evenVBand="0" w:oddHBand="1" w:evenHBand="0" w:firstRowFirstColumn="0" w:firstRowLastColumn="0" w:lastRowFirstColumn="0" w:lastRowLastColumn="0"/>
              <w:rPr>
                <w:rFonts w:asciiTheme="majorBidi" w:eastAsia="Aptos" w:hAnsiTheme="majorBidi" w:cstheme="majorBidi"/>
                <w:color w:val="000000" w:themeColor="text1"/>
                <w:sz w:val="18"/>
                <w:szCs w:val="18"/>
                <w:lang w:val="fr"/>
              </w:rPr>
            </w:pPr>
            <w:r w:rsidRPr="00530F83">
              <w:rPr>
                <w:rFonts w:asciiTheme="majorBidi" w:eastAsia="Aptos" w:hAnsiTheme="majorBidi" w:cstheme="majorBidi"/>
                <w:color w:val="000000" w:themeColor="text1"/>
                <w:sz w:val="18"/>
                <w:szCs w:val="18"/>
                <w:lang w:val="fr"/>
              </w:rPr>
              <w:t>UGP-MEP et UGP-SOMELEC ; rapport de clôture et plan de suivi</w:t>
            </w:r>
          </w:p>
        </w:tc>
      </w:tr>
    </w:tbl>
    <w:p w14:paraId="31EEB83A" w14:textId="628FD5A8" w:rsidR="6373F9CA" w:rsidRPr="00AB7F24" w:rsidRDefault="6373F9CA" w:rsidP="00AB7F24">
      <w:pPr>
        <w:spacing w:line="276" w:lineRule="auto"/>
        <w:jc w:val="both"/>
        <w:rPr>
          <w:rFonts w:asciiTheme="majorBidi" w:hAnsiTheme="majorBidi" w:cstheme="majorBidi"/>
          <w:b/>
          <w:bCs/>
          <w:sz w:val="24"/>
          <w:szCs w:val="24"/>
        </w:rPr>
      </w:pPr>
    </w:p>
    <w:p w14:paraId="01F4A502" w14:textId="10095F28" w:rsidR="0083496A" w:rsidRPr="00530F83" w:rsidRDefault="0083496A" w:rsidP="00530F83">
      <w:pPr>
        <w:pStyle w:val="Heading2"/>
        <w:numPr>
          <w:ilvl w:val="1"/>
          <w:numId w:val="35"/>
        </w:numPr>
        <w:spacing w:line="276" w:lineRule="auto"/>
        <w:ind w:left="810" w:hanging="450"/>
        <w:jc w:val="both"/>
        <w:rPr>
          <w:rFonts w:asciiTheme="majorBidi" w:eastAsiaTheme="minorHAnsi" w:hAnsiTheme="majorBidi"/>
          <w:b/>
          <w:bCs/>
          <w:color w:val="auto"/>
          <w:sz w:val="24"/>
          <w:szCs w:val="24"/>
        </w:rPr>
      </w:pPr>
      <w:bookmarkStart w:id="15" w:name="_Toc241155397"/>
      <w:r w:rsidRPr="00AB7F24">
        <w:rPr>
          <w:rFonts w:asciiTheme="majorBidi" w:eastAsiaTheme="minorHAnsi" w:hAnsiTheme="majorBidi"/>
          <w:b/>
          <w:bCs/>
          <w:color w:val="auto"/>
          <w:sz w:val="24"/>
          <w:szCs w:val="24"/>
        </w:rPr>
        <w:t>Stratégie proposée pour la prise en compte des points de vue des groupes vulnérables</w:t>
      </w:r>
      <w:bookmarkEnd w:id="15"/>
      <w:r w:rsidRPr="00530F83">
        <w:rPr>
          <w:rFonts w:asciiTheme="majorBidi" w:eastAsiaTheme="minorHAnsi" w:hAnsiTheme="majorBidi"/>
          <w:b/>
          <w:bCs/>
          <w:color w:val="auto"/>
          <w:sz w:val="24"/>
          <w:szCs w:val="24"/>
        </w:rPr>
        <w:t> </w:t>
      </w:r>
    </w:p>
    <w:p w14:paraId="216AE631" w14:textId="77777777" w:rsidR="0083496A" w:rsidRPr="00AB7F24" w:rsidRDefault="0083496A" w:rsidP="00AB7F24">
      <w:pPr>
        <w:spacing w:line="276" w:lineRule="auto"/>
        <w:jc w:val="both"/>
        <w:rPr>
          <w:rFonts w:asciiTheme="majorBidi" w:hAnsiTheme="majorBidi" w:cstheme="majorBidi"/>
          <w:sz w:val="24"/>
          <w:szCs w:val="24"/>
        </w:rPr>
      </w:pPr>
      <w:r w:rsidRPr="00AB7F24">
        <w:rPr>
          <w:rFonts w:asciiTheme="majorBidi" w:hAnsiTheme="majorBidi" w:cstheme="majorBidi"/>
          <w:sz w:val="24"/>
          <w:szCs w:val="24"/>
        </w:rPr>
        <w:t xml:space="preserve">Les mesures suivantes seront prises pour éliminer les obstacles à la pleine participation et à l’accès à l’information. Le projet sollicitera les points de vue des </w:t>
      </w:r>
      <w:r w:rsidRPr="00AB7F24">
        <w:rPr>
          <w:rFonts w:asciiTheme="majorBidi" w:hAnsiTheme="majorBidi" w:cstheme="majorBidi"/>
          <w:i/>
          <w:sz w:val="24"/>
          <w:szCs w:val="24"/>
        </w:rPr>
        <w:t xml:space="preserve">groupes </w:t>
      </w:r>
      <w:r w:rsidRPr="00AB7F24">
        <w:rPr>
          <w:rFonts w:asciiTheme="majorBidi" w:hAnsiTheme="majorBidi" w:cstheme="majorBidi"/>
          <w:sz w:val="24"/>
          <w:szCs w:val="24"/>
        </w:rPr>
        <w:t xml:space="preserve">vulnérables identifiés suivant les méthodes suivantes :  </w:t>
      </w:r>
    </w:p>
    <w:p w14:paraId="49DC9E75" w14:textId="2E4B936A" w:rsidR="0083496A" w:rsidRPr="00AB7F24" w:rsidRDefault="776234DE" w:rsidP="00AB7F24">
      <w:pPr>
        <w:pStyle w:val="ListParagraph"/>
        <w:numPr>
          <w:ilvl w:val="0"/>
          <w:numId w:val="32"/>
        </w:numPr>
        <w:spacing w:after="0" w:line="276" w:lineRule="auto"/>
        <w:jc w:val="both"/>
        <w:rPr>
          <w:rFonts w:asciiTheme="majorBidi" w:eastAsia="Aptos" w:hAnsiTheme="majorBidi" w:cstheme="majorBidi"/>
          <w:sz w:val="24"/>
          <w:szCs w:val="24"/>
          <w:lang w:val="fr"/>
        </w:rPr>
      </w:pPr>
      <w:r w:rsidRPr="00AB7F24">
        <w:rPr>
          <w:rFonts w:asciiTheme="majorBidi" w:eastAsia="Aptos" w:hAnsiTheme="majorBidi" w:cstheme="majorBidi"/>
          <w:sz w:val="24"/>
          <w:szCs w:val="24"/>
          <w:lang w:val="fr"/>
        </w:rPr>
        <w:t>Identifier avec les représentants locaux les obstacles propres à chaque groupe et convenir des modalités adaptées avant chaque consultation.</w:t>
      </w:r>
    </w:p>
    <w:p w14:paraId="73EC7BFD" w14:textId="0070BE86" w:rsidR="0083496A" w:rsidRPr="00AB7F24" w:rsidRDefault="776234DE" w:rsidP="00AB7F24">
      <w:pPr>
        <w:pStyle w:val="ListParagraph"/>
        <w:numPr>
          <w:ilvl w:val="0"/>
          <w:numId w:val="32"/>
        </w:numPr>
        <w:spacing w:after="0" w:line="276" w:lineRule="auto"/>
        <w:jc w:val="both"/>
        <w:rPr>
          <w:rFonts w:asciiTheme="majorBidi" w:eastAsia="Aptos" w:hAnsiTheme="majorBidi" w:cstheme="majorBidi"/>
          <w:sz w:val="24"/>
          <w:szCs w:val="24"/>
          <w:lang w:val="fr"/>
        </w:rPr>
      </w:pPr>
      <w:r w:rsidRPr="00AB7F24">
        <w:rPr>
          <w:rFonts w:asciiTheme="majorBidi" w:eastAsia="Aptos" w:hAnsiTheme="majorBidi" w:cstheme="majorBidi"/>
          <w:sz w:val="24"/>
          <w:szCs w:val="24"/>
          <w:lang w:val="fr"/>
        </w:rPr>
        <w:t>Organiser, lorsque nécessaire, des consultations séparées animées par des facilitateurs appropriés pour les femmes, les jeunes et les groupes qui s’expriment difficilement en réunion publique.</w:t>
      </w:r>
    </w:p>
    <w:p w14:paraId="14BC74A0" w14:textId="09476BAD" w:rsidR="0083496A" w:rsidRPr="00AB7F24" w:rsidRDefault="776234DE" w:rsidP="00AB7F24">
      <w:pPr>
        <w:pStyle w:val="ListParagraph"/>
        <w:numPr>
          <w:ilvl w:val="0"/>
          <w:numId w:val="32"/>
        </w:numPr>
        <w:spacing w:after="0" w:line="276" w:lineRule="auto"/>
        <w:jc w:val="both"/>
        <w:rPr>
          <w:rFonts w:asciiTheme="majorBidi" w:eastAsia="Aptos" w:hAnsiTheme="majorBidi" w:cstheme="majorBidi"/>
          <w:sz w:val="24"/>
          <w:szCs w:val="24"/>
          <w:lang w:val="fr"/>
        </w:rPr>
      </w:pPr>
      <w:r w:rsidRPr="00AB7F24">
        <w:rPr>
          <w:rFonts w:asciiTheme="majorBidi" w:eastAsia="Aptos" w:hAnsiTheme="majorBidi" w:cstheme="majorBidi"/>
          <w:sz w:val="24"/>
          <w:szCs w:val="24"/>
          <w:lang w:val="fr"/>
        </w:rPr>
        <w:lastRenderedPageBreak/>
        <w:t>Utiliser le français et les langues nationales pertinentes, ainsi que des supports simples, oraux, audio et visuels pour les personnes faiblement alphabétisées.</w:t>
      </w:r>
    </w:p>
    <w:p w14:paraId="60DF283A" w14:textId="2382EFC0" w:rsidR="0083496A" w:rsidRPr="00AB7F24" w:rsidRDefault="776234DE" w:rsidP="00AB7F24">
      <w:pPr>
        <w:pStyle w:val="ListParagraph"/>
        <w:numPr>
          <w:ilvl w:val="0"/>
          <w:numId w:val="32"/>
        </w:numPr>
        <w:spacing w:after="0" w:line="276" w:lineRule="auto"/>
        <w:jc w:val="both"/>
        <w:rPr>
          <w:rFonts w:asciiTheme="majorBidi" w:eastAsia="Aptos" w:hAnsiTheme="majorBidi" w:cstheme="majorBidi"/>
          <w:sz w:val="24"/>
          <w:szCs w:val="24"/>
          <w:lang w:val="fr"/>
        </w:rPr>
      </w:pPr>
      <w:r w:rsidRPr="00AB7F24">
        <w:rPr>
          <w:rFonts w:asciiTheme="majorBidi" w:eastAsia="Aptos" w:hAnsiTheme="majorBidi" w:cstheme="majorBidi"/>
          <w:sz w:val="24"/>
          <w:szCs w:val="24"/>
          <w:lang w:val="fr"/>
        </w:rPr>
        <w:t>Retenir des lieux physiquement accessibles, des horaires compatibles avec les activités économiques et domestiques, et prévoir, lorsque justifié, l’appui au transport, à l’interprétation ou à l’accompagnement.</w:t>
      </w:r>
    </w:p>
    <w:p w14:paraId="0B70ED4C" w14:textId="3F7696E0" w:rsidR="0083496A" w:rsidRPr="00AB7F24" w:rsidRDefault="776234DE" w:rsidP="00AB7F24">
      <w:pPr>
        <w:pStyle w:val="ListParagraph"/>
        <w:numPr>
          <w:ilvl w:val="0"/>
          <w:numId w:val="32"/>
        </w:numPr>
        <w:spacing w:after="0" w:line="276" w:lineRule="auto"/>
        <w:jc w:val="both"/>
        <w:rPr>
          <w:rFonts w:asciiTheme="majorBidi" w:eastAsia="Aptos" w:hAnsiTheme="majorBidi" w:cstheme="majorBidi"/>
          <w:sz w:val="24"/>
          <w:szCs w:val="24"/>
          <w:lang w:val="fr"/>
        </w:rPr>
      </w:pPr>
      <w:r w:rsidRPr="00AB7F24">
        <w:rPr>
          <w:rFonts w:asciiTheme="majorBidi" w:eastAsia="Aptos" w:hAnsiTheme="majorBidi" w:cstheme="majorBidi"/>
          <w:sz w:val="24"/>
          <w:szCs w:val="24"/>
          <w:lang w:val="fr"/>
        </w:rPr>
        <w:t>Associer les organisations représentatives sans substituer leur participation à la consultation directe des personnes concernées.</w:t>
      </w:r>
    </w:p>
    <w:p w14:paraId="2272538D" w14:textId="4EB784EB" w:rsidR="0083496A" w:rsidRPr="00AB7F24" w:rsidRDefault="776234DE" w:rsidP="00AB7F24">
      <w:pPr>
        <w:pStyle w:val="ListParagraph"/>
        <w:numPr>
          <w:ilvl w:val="0"/>
          <w:numId w:val="32"/>
        </w:numPr>
        <w:spacing w:after="0" w:line="276" w:lineRule="auto"/>
        <w:jc w:val="both"/>
        <w:rPr>
          <w:rFonts w:asciiTheme="majorBidi" w:eastAsia="Aptos" w:hAnsiTheme="majorBidi" w:cstheme="majorBidi"/>
          <w:sz w:val="24"/>
          <w:szCs w:val="24"/>
          <w:lang w:val="fr"/>
        </w:rPr>
      </w:pPr>
      <w:r w:rsidRPr="00AB7F24">
        <w:rPr>
          <w:rFonts w:asciiTheme="majorBidi" w:eastAsia="Aptos" w:hAnsiTheme="majorBidi" w:cstheme="majorBidi"/>
          <w:sz w:val="24"/>
          <w:szCs w:val="24"/>
          <w:lang w:val="fr"/>
        </w:rPr>
        <w:t>Ventiler les données de participation dans la mesure du possible et suivre non seulement la présence, mais aussi la qualité de la participation, les préoccupations exprimées et leur prise en compte.</w:t>
      </w:r>
    </w:p>
    <w:p w14:paraId="382AA602" w14:textId="18D615FD" w:rsidR="0083496A" w:rsidRDefault="776234DE" w:rsidP="00AB7F24">
      <w:pPr>
        <w:pStyle w:val="ListParagraph"/>
        <w:numPr>
          <w:ilvl w:val="0"/>
          <w:numId w:val="32"/>
        </w:numPr>
        <w:spacing w:after="0" w:line="276" w:lineRule="auto"/>
        <w:jc w:val="both"/>
        <w:rPr>
          <w:rFonts w:asciiTheme="majorBidi" w:eastAsia="Aptos" w:hAnsiTheme="majorBidi" w:cstheme="majorBidi"/>
          <w:sz w:val="24"/>
          <w:szCs w:val="24"/>
        </w:rPr>
      </w:pPr>
      <w:r w:rsidRPr="00AB7F24">
        <w:rPr>
          <w:rFonts w:asciiTheme="majorBidi" w:eastAsia="Aptos" w:hAnsiTheme="majorBidi" w:cstheme="majorBidi"/>
          <w:sz w:val="24"/>
          <w:szCs w:val="24"/>
        </w:rPr>
        <w:t>Garantir que la participation ou le dépôt d’une plainte n’entraîne aucune représaille, exclusion ni perte d’accès aux bénéfices du projet.</w:t>
      </w:r>
    </w:p>
    <w:p w14:paraId="5907C4C0" w14:textId="77777777" w:rsidR="00530F83" w:rsidRPr="00AB7F24" w:rsidRDefault="00530F83" w:rsidP="00530F83">
      <w:pPr>
        <w:pStyle w:val="ListParagraph"/>
        <w:spacing w:after="0" w:line="276" w:lineRule="auto"/>
        <w:jc w:val="both"/>
        <w:rPr>
          <w:rFonts w:asciiTheme="majorBidi" w:eastAsia="Aptos" w:hAnsiTheme="majorBidi" w:cstheme="majorBidi"/>
          <w:sz w:val="24"/>
          <w:szCs w:val="24"/>
        </w:rPr>
      </w:pPr>
    </w:p>
    <w:p w14:paraId="3EC701A4" w14:textId="3B2D24C0" w:rsidR="0083496A" w:rsidRPr="00530F83" w:rsidRDefault="0083496A" w:rsidP="00530F83">
      <w:pPr>
        <w:pStyle w:val="Title"/>
        <w:widowControl w:val="0"/>
        <w:numPr>
          <w:ilvl w:val="0"/>
          <w:numId w:val="35"/>
        </w:numPr>
        <w:autoSpaceDE w:val="0"/>
        <w:autoSpaceDN w:val="0"/>
        <w:spacing w:after="0" w:line="276" w:lineRule="auto"/>
        <w:ind w:right="455"/>
        <w:contextualSpacing w:val="0"/>
        <w:rPr>
          <w:rFonts w:asciiTheme="majorBidi" w:eastAsiaTheme="minorHAnsi" w:hAnsiTheme="majorBidi"/>
          <w:b/>
          <w:bCs/>
          <w:kern w:val="2"/>
          <w:sz w:val="28"/>
          <w:szCs w:val="28"/>
        </w:rPr>
      </w:pPr>
      <w:bookmarkStart w:id="16" w:name="_Toc241155398"/>
      <w:r w:rsidRPr="00530F83">
        <w:rPr>
          <w:rFonts w:asciiTheme="majorBidi" w:eastAsiaTheme="minorHAnsi" w:hAnsiTheme="majorBidi"/>
          <w:b/>
          <w:bCs/>
          <w:kern w:val="2"/>
          <w:sz w:val="28"/>
          <w:szCs w:val="28"/>
        </w:rPr>
        <w:t>Ressources et responsabilités pour la mise en œuvre des activités de mobilisation des parties prenantes</w:t>
      </w:r>
      <w:bookmarkEnd w:id="16"/>
      <w:r w:rsidRPr="00530F83">
        <w:rPr>
          <w:rFonts w:asciiTheme="majorBidi" w:eastAsiaTheme="minorHAnsi" w:hAnsiTheme="majorBidi"/>
          <w:b/>
          <w:bCs/>
          <w:kern w:val="2"/>
          <w:sz w:val="28"/>
          <w:szCs w:val="28"/>
        </w:rPr>
        <w:t xml:space="preserve"> </w:t>
      </w:r>
    </w:p>
    <w:p w14:paraId="4BE764C7" w14:textId="77777777" w:rsidR="00530F83" w:rsidRDefault="00530F83" w:rsidP="00AB7F24">
      <w:pPr>
        <w:spacing w:line="276" w:lineRule="auto"/>
        <w:jc w:val="both"/>
        <w:rPr>
          <w:rFonts w:asciiTheme="majorBidi" w:eastAsia="Aptos" w:hAnsiTheme="majorBidi" w:cstheme="majorBidi"/>
          <w:sz w:val="24"/>
          <w:szCs w:val="24"/>
        </w:rPr>
      </w:pPr>
    </w:p>
    <w:p w14:paraId="2B415B82" w14:textId="4DE7AD12" w:rsidR="0083496A" w:rsidRPr="00AB7F24" w:rsidRDefault="65A70081" w:rsidP="00530F83">
      <w:pPr>
        <w:spacing w:line="276" w:lineRule="auto"/>
        <w:jc w:val="both"/>
        <w:rPr>
          <w:rFonts w:asciiTheme="majorBidi" w:eastAsia="Aptos" w:hAnsiTheme="majorBidi" w:cstheme="majorBidi"/>
          <w:sz w:val="24"/>
          <w:szCs w:val="24"/>
        </w:rPr>
      </w:pPr>
      <w:r w:rsidRPr="00AB7F24">
        <w:rPr>
          <w:rFonts w:asciiTheme="majorBidi" w:eastAsia="Aptos" w:hAnsiTheme="majorBidi" w:cstheme="majorBidi"/>
          <w:sz w:val="24"/>
          <w:szCs w:val="24"/>
        </w:rPr>
        <w:t xml:space="preserve">Les Coordonnateurs des UGP-MEP et UGP-SOMELEC sont responsables de la mise en œuvre du PMPP pour leurs composantes respectives. Un comité conjoint de mobilisation, réuni au moins chaque trimestre, assurera l’harmonisation des méthodes, du registre des parties prenantes, du MGP, des indicateurs et du rapportage. Les spécialistes sociaux préparent les plans trimestriels, supervisent les consultants, contrôlent la qualité des consultations et tiennent la matrice de suivi des engagements. L’UGP-MEP consolide le rapport global NES 10 à partir des contributions validées des deux UGP. </w:t>
      </w:r>
      <w:r w:rsidR="2C1BD022" w:rsidRPr="00AB7F24">
        <w:rPr>
          <w:rFonts w:asciiTheme="majorBidi" w:eastAsia="Aptos" w:hAnsiTheme="majorBidi" w:cstheme="majorBidi"/>
          <w:sz w:val="24"/>
          <w:szCs w:val="24"/>
        </w:rPr>
        <w:t>L’UGP</w:t>
      </w:r>
      <w:r w:rsidR="2C1BD022" w:rsidRPr="00AB7F24">
        <w:rPr>
          <w:rFonts w:asciiTheme="majorBidi" w:eastAsia="Segoe UI" w:hAnsiTheme="majorBidi" w:cstheme="majorBidi"/>
          <w:color w:val="242424"/>
          <w:sz w:val="24"/>
          <w:szCs w:val="24"/>
        </w:rPr>
        <w:t>-MEP pourrait être désignée comme point focal pour la consolidation de l’ensemble des plaintes et des retours des parties prenantes.</w:t>
      </w:r>
    </w:p>
    <w:tbl>
      <w:tblPr>
        <w:tblStyle w:val="TableGrid"/>
        <w:tblpPr w:leftFromText="180" w:rightFromText="180" w:vertAnchor="text" w:horzAnchor="margin" w:tblpY="307"/>
        <w:tblW w:w="0" w:type="auto"/>
        <w:tblLook w:val="04A0" w:firstRow="1" w:lastRow="0" w:firstColumn="1" w:lastColumn="0" w:noHBand="0" w:noVBand="1"/>
      </w:tblPr>
      <w:tblGrid>
        <w:gridCol w:w="2802"/>
        <w:gridCol w:w="5828"/>
      </w:tblGrid>
      <w:tr w:rsidR="0083496A" w:rsidRPr="00530F83" w14:paraId="28EE56D8" w14:textId="77777777" w:rsidTr="60D215B1">
        <w:tc>
          <w:tcPr>
            <w:tcW w:w="2802" w:type="dxa"/>
            <w:shd w:val="clear" w:color="auto" w:fill="95DCF7" w:themeFill="accent4" w:themeFillTint="66"/>
          </w:tcPr>
          <w:p w14:paraId="782E5B94" w14:textId="77777777" w:rsidR="0083496A" w:rsidRPr="00530F83" w:rsidRDefault="0083496A" w:rsidP="00530F83">
            <w:pPr>
              <w:spacing w:after="20" w:line="276" w:lineRule="auto"/>
              <w:jc w:val="both"/>
              <w:rPr>
                <w:rFonts w:asciiTheme="majorBidi" w:hAnsiTheme="majorBidi" w:cstheme="majorBidi"/>
                <w:sz w:val="20"/>
                <w:szCs w:val="20"/>
              </w:rPr>
            </w:pPr>
            <w:r w:rsidRPr="00530F83">
              <w:rPr>
                <w:rFonts w:asciiTheme="majorBidi" w:eastAsia="Arial" w:hAnsiTheme="majorBidi" w:cstheme="majorBidi"/>
                <w:b/>
                <w:sz w:val="20"/>
                <w:szCs w:val="20"/>
              </w:rPr>
              <w:t>Acteur</w:t>
            </w:r>
          </w:p>
        </w:tc>
        <w:tc>
          <w:tcPr>
            <w:tcW w:w="5828" w:type="dxa"/>
            <w:shd w:val="clear" w:color="auto" w:fill="95DCF7" w:themeFill="accent4" w:themeFillTint="66"/>
          </w:tcPr>
          <w:p w14:paraId="257C3447" w14:textId="77777777" w:rsidR="0083496A" w:rsidRPr="00530F83" w:rsidRDefault="0083496A" w:rsidP="00530F83">
            <w:pPr>
              <w:spacing w:after="20" w:line="276" w:lineRule="auto"/>
              <w:jc w:val="both"/>
              <w:rPr>
                <w:rFonts w:asciiTheme="majorBidi" w:hAnsiTheme="majorBidi" w:cstheme="majorBidi"/>
                <w:sz w:val="20"/>
                <w:szCs w:val="20"/>
              </w:rPr>
            </w:pPr>
            <w:r w:rsidRPr="00530F83">
              <w:rPr>
                <w:rFonts w:asciiTheme="majorBidi" w:eastAsia="Arial" w:hAnsiTheme="majorBidi" w:cstheme="majorBidi"/>
                <w:b/>
                <w:sz w:val="20"/>
                <w:szCs w:val="20"/>
              </w:rPr>
              <w:t>Responsabilités principals</w:t>
            </w:r>
          </w:p>
        </w:tc>
      </w:tr>
      <w:tr w:rsidR="0083496A" w:rsidRPr="00530F83" w14:paraId="14B49692" w14:textId="77777777" w:rsidTr="60D215B1">
        <w:tc>
          <w:tcPr>
            <w:tcW w:w="2802" w:type="dxa"/>
          </w:tcPr>
          <w:p w14:paraId="5A866825" w14:textId="77777777" w:rsidR="0083496A" w:rsidRPr="00530F83" w:rsidRDefault="0083496A" w:rsidP="00530F83">
            <w:pPr>
              <w:spacing w:after="20" w:line="276" w:lineRule="auto"/>
              <w:jc w:val="both"/>
              <w:rPr>
                <w:rFonts w:asciiTheme="majorBidi" w:hAnsiTheme="majorBidi" w:cstheme="majorBidi"/>
                <w:sz w:val="20"/>
                <w:szCs w:val="20"/>
              </w:rPr>
            </w:pPr>
            <w:r w:rsidRPr="00530F83">
              <w:rPr>
                <w:rFonts w:asciiTheme="majorBidi" w:hAnsiTheme="majorBidi" w:cstheme="majorBidi"/>
                <w:sz w:val="20"/>
                <w:szCs w:val="20"/>
              </w:rPr>
              <w:t>UGP-MEP (Coordonnateur et Spécialiste Social)</w:t>
            </w:r>
          </w:p>
        </w:tc>
        <w:tc>
          <w:tcPr>
            <w:tcW w:w="5828" w:type="dxa"/>
          </w:tcPr>
          <w:p w14:paraId="71563ED0" w14:textId="53B4EDBD" w:rsidR="0083496A" w:rsidRPr="00530F83" w:rsidRDefault="0083496A" w:rsidP="00530F83">
            <w:pPr>
              <w:spacing w:after="20" w:line="276" w:lineRule="auto"/>
              <w:jc w:val="both"/>
              <w:rPr>
                <w:rFonts w:asciiTheme="majorBidi" w:hAnsiTheme="majorBidi" w:cstheme="majorBidi"/>
                <w:sz w:val="20"/>
                <w:szCs w:val="20"/>
              </w:rPr>
            </w:pPr>
            <w:r w:rsidRPr="00530F83">
              <w:rPr>
                <w:rFonts w:asciiTheme="majorBidi" w:hAnsiTheme="majorBidi" w:cstheme="majorBidi"/>
                <w:sz w:val="20"/>
                <w:szCs w:val="20"/>
              </w:rPr>
              <w:t xml:space="preserve">Mise en œuvre, coordination et suivi des activités de mobilisation des parties prenantes pour les composantes liées au gaz et à la gouvernance (1.3, 1.4, 1.6, 2.3, 4.1, 4.3). </w:t>
            </w:r>
            <w:r w:rsidR="27C1581B" w:rsidRPr="00530F83">
              <w:rPr>
                <w:rFonts w:asciiTheme="majorBidi" w:hAnsiTheme="majorBidi" w:cstheme="majorBidi"/>
                <w:sz w:val="20"/>
                <w:szCs w:val="20"/>
              </w:rPr>
              <w:t xml:space="preserve">Point focal MGP : </w:t>
            </w:r>
            <w:r w:rsidRPr="00530F83">
              <w:rPr>
                <w:rFonts w:asciiTheme="majorBidi" w:hAnsiTheme="majorBidi" w:cstheme="majorBidi"/>
                <w:sz w:val="20"/>
                <w:szCs w:val="20"/>
              </w:rPr>
              <w:t>Enregistrement et traitement des plaintes relatives à ces volets via le MGP.</w:t>
            </w:r>
          </w:p>
        </w:tc>
      </w:tr>
      <w:tr w:rsidR="0083496A" w:rsidRPr="00530F83" w14:paraId="6FEC1AF9" w14:textId="77777777" w:rsidTr="60D215B1">
        <w:tc>
          <w:tcPr>
            <w:tcW w:w="2802" w:type="dxa"/>
          </w:tcPr>
          <w:p w14:paraId="6F010CD1" w14:textId="77777777" w:rsidR="0083496A" w:rsidRPr="00530F83" w:rsidRDefault="0083496A" w:rsidP="00530F83">
            <w:pPr>
              <w:spacing w:after="20" w:line="276" w:lineRule="auto"/>
              <w:jc w:val="both"/>
              <w:rPr>
                <w:rFonts w:asciiTheme="majorBidi" w:hAnsiTheme="majorBidi" w:cstheme="majorBidi"/>
                <w:sz w:val="20"/>
                <w:szCs w:val="20"/>
              </w:rPr>
            </w:pPr>
            <w:r w:rsidRPr="00530F83">
              <w:rPr>
                <w:rFonts w:asciiTheme="majorBidi" w:hAnsiTheme="majorBidi" w:cstheme="majorBidi"/>
                <w:sz w:val="20"/>
                <w:szCs w:val="20"/>
              </w:rPr>
              <w:t>UGP-SOMELEC (Coordonnateur et Spécialiste Social)</w:t>
            </w:r>
          </w:p>
        </w:tc>
        <w:tc>
          <w:tcPr>
            <w:tcW w:w="5828" w:type="dxa"/>
          </w:tcPr>
          <w:p w14:paraId="1655AD75" w14:textId="4C9A0206" w:rsidR="0083496A" w:rsidRPr="00530F83" w:rsidRDefault="0083496A" w:rsidP="00530F83">
            <w:pPr>
              <w:spacing w:after="20" w:line="276" w:lineRule="auto"/>
              <w:jc w:val="both"/>
              <w:rPr>
                <w:rFonts w:asciiTheme="majorBidi" w:hAnsiTheme="majorBidi" w:cstheme="majorBidi"/>
                <w:sz w:val="20"/>
                <w:szCs w:val="20"/>
              </w:rPr>
            </w:pPr>
            <w:r w:rsidRPr="00530F83">
              <w:rPr>
                <w:rFonts w:asciiTheme="majorBidi" w:hAnsiTheme="majorBidi" w:cstheme="majorBidi"/>
                <w:sz w:val="20"/>
                <w:szCs w:val="20"/>
              </w:rPr>
              <w:t>Mise en œuvre, coordination et suivi des consultations spécifiques à la composante 2.4 (réseau de transport d'électricité). Gestion du MGP pour les activités et acteurs du secteur électrique</w:t>
            </w:r>
            <w:r w:rsidR="29622E25" w:rsidRPr="00530F83">
              <w:rPr>
                <w:rFonts w:asciiTheme="majorBidi" w:hAnsiTheme="majorBidi" w:cstheme="majorBidi"/>
                <w:sz w:val="20"/>
                <w:szCs w:val="20"/>
              </w:rPr>
              <w:t xml:space="preserve"> et transmission à l’UGP MEP</w:t>
            </w:r>
          </w:p>
        </w:tc>
      </w:tr>
      <w:tr w:rsidR="0083496A" w:rsidRPr="00530F83" w14:paraId="0CED8C78" w14:textId="77777777" w:rsidTr="60D215B1">
        <w:tc>
          <w:tcPr>
            <w:tcW w:w="2802" w:type="dxa"/>
          </w:tcPr>
          <w:p w14:paraId="4FD3A882" w14:textId="77777777" w:rsidR="0083496A" w:rsidRPr="00530F83" w:rsidRDefault="0083496A" w:rsidP="00530F83">
            <w:pPr>
              <w:spacing w:after="20" w:line="276" w:lineRule="auto"/>
              <w:jc w:val="both"/>
              <w:rPr>
                <w:rFonts w:asciiTheme="majorBidi" w:hAnsiTheme="majorBidi" w:cstheme="majorBidi"/>
                <w:sz w:val="20"/>
                <w:szCs w:val="20"/>
              </w:rPr>
            </w:pPr>
            <w:r w:rsidRPr="00530F83">
              <w:rPr>
                <w:rFonts w:asciiTheme="majorBidi" w:hAnsiTheme="majorBidi" w:cstheme="majorBidi"/>
                <w:sz w:val="20"/>
                <w:szCs w:val="20"/>
              </w:rPr>
              <w:t>Consultants et Bureaux d'études (AT)</w:t>
            </w:r>
          </w:p>
        </w:tc>
        <w:tc>
          <w:tcPr>
            <w:tcW w:w="5828" w:type="dxa"/>
          </w:tcPr>
          <w:p w14:paraId="03E3A52A" w14:textId="0497BD11" w:rsidR="0083496A" w:rsidRPr="00530F83" w:rsidRDefault="0083496A" w:rsidP="00530F83">
            <w:pPr>
              <w:spacing w:after="20" w:line="276" w:lineRule="auto"/>
              <w:jc w:val="both"/>
              <w:rPr>
                <w:rFonts w:asciiTheme="majorBidi" w:hAnsiTheme="majorBidi" w:cstheme="majorBidi"/>
                <w:sz w:val="20"/>
                <w:szCs w:val="20"/>
              </w:rPr>
            </w:pPr>
            <w:r w:rsidRPr="00530F83">
              <w:rPr>
                <w:rFonts w:asciiTheme="majorBidi" w:hAnsiTheme="majorBidi" w:cstheme="majorBidi"/>
                <w:sz w:val="20"/>
                <w:szCs w:val="20"/>
              </w:rPr>
              <w:t>Animer les consultations publiques et les groupes de discussion sur le terrain lors de la préparation des études (EIES, FEED) et intégrer les résultats et préoccupations dans les livrables finaux.</w:t>
            </w:r>
          </w:p>
          <w:p w14:paraId="0613215C" w14:textId="77777777" w:rsidR="009A4900" w:rsidRDefault="74039EE2" w:rsidP="00530F83">
            <w:pPr>
              <w:spacing w:after="20" w:line="276" w:lineRule="auto"/>
              <w:jc w:val="both"/>
              <w:rPr>
                <w:rFonts w:asciiTheme="majorBidi" w:eastAsia="Segoe UI" w:hAnsiTheme="majorBidi" w:cstheme="majorBidi"/>
                <w:color w:val="020817"/>
                <w:sz w:val="20"/>
                <w:szCs w:val="20"/>
              </w:rPr>
            </w:pPr>
            <w:r w:rsidRPr="00530F83">
              <w:rPr>
                <w:rFonts w:asciiTheme="majorBidi" w:eastAsia="Segoe UI" w:hAnsiTheme="majorBidi" w:cstheme="majorBidi"/>
                <w:color w:val="020817"/>
                <w:sz w:val="20"/>
                <w:szCs w:val="20"/>
              </w:rPr>
              <w:t xml:space="preserve">Les UGPs sont responsables de la coordination avec les consultants et bureaux d'études et du reporting des activités de mobilisation des parties prenantes, conformément aux exigences du PEES. </w:t>
            </w:r>
          </w:p>
          <w:p w14:paraId="05F46C5B" w14:textId="64CF0747" w:rsidR="0083496A" w:rsidRPr="00530F83" w:rsidRDefault="009A4900" w:rsidP="00530F83">
            <w:pPr>
              <w:spacing w:after="20" w:line="276" w:lineRule="auto"/>
              <w:jc w:val="both"/>
              <w:rPr>
                <w:rFonts w:asciiTheme="majorBidi" w:eastAsia="Segoe UI" w:hAnsiTheme="majorBidi" w:cstheme="majorBidi"/>
                <w:color w:val="242424"/>
                <w:sz w:val="20"/>
                <w:szCs w:val="20"/>
              </w:rPr>
            </w:pPr>
            <w:r>
              <w:rPr>
                <w:rFonts w:asciiTheme="majorBidi" w:eastAsia="Segoe UI" w:hAnsiTheme="majorBidi" w:cstheme="majorBidi"/>
                <w:color w:val="020817"/>
                <w:sz w:val="20"/>
                <w:szCs w:val="20"/>
              </w:rPr>
              <w:t>L</w:t>
            </w:r>
            <w:r w:rsidR="74039EE2" w:rsidRPr="00530F83">
              <w:rPr>
                <w:rFonts w:asciiTheme="majorBidi" w:eastAsia="Segoe UI" w:hAnsiTheme="majorBidi" w:cstheme="majorBidi"/>
                <w:color w:val="020817"/>
                <w:sz w:val="20"/>
                <w:szCs w:val="20"/>
              </w:rPr>
              <w:t>a responsabilité du suivi et du reporting revient aux UGPs et non aux consultants.</w:t>
            </w:r>
          </w:p>
        </w:tc>
      </w:tr>
    </w:tbl>
    <w:p w14:paraId="08A9D00C" w14:textId="77777777" w:rsidR="009A4900" w:rsidRDefault="009A4900" w:rsidP="009A4900">
      <w:pPr>
        <w:pStyle w:val="Title"/>
        <w:widowControl w:val="0"/>
        <w:autoSpaceDE w:val="0"/>
        <w:autoSpaceDN w:val="0"/>
        <w:spacing w:after="0" w:line="276" w:lineRule="auto"/>
        <w:ind w:left="720" w:right="455"/>
        <w:contextualSpacing w:val="0"/>
        <w:rPr>
          <w:rFonts w:asciiTheme="majorBidi" w:eastAsiaTheme="minorHAnsi" w:hAnsiTheme="majorBidi"/>
          <w:b/>
          <w:bCs/>
          <w:kern w:val="2"/>
          <w:sz w:val="28"/>
          <w:szCs w:val="28"/>
        </w:rPr>
      </w:pPr>
      <w:bookmarkStart w:id="17" w:name="_Toc241155399"/>
    </w:p>
    <w:p w14:paraId="700A4F1D" w14:textId="77777777" w:rsidR="009A4900" w:rsidRDefault="009A4900" w:rsidP="009A4900">
      <w:pPr>
        <w:pStyle w:val="Title"/>
        <w:widowControl w:val="0"/>
        <w:autoSpaceDE w:val="0"/>
        <w:autoSpaceDN w:val="0"/>
        <w:spacing w:after="0" w:line="276" w:lineRule="auto"/>
        <w:ind w:left="720" w:right="455"/>
        <w:contextualSpacing w:val="0"/>
        <w:rPr>
          <w:rFonts w:asciiTheme="majorBidi" w:eastAsiaTheme="minorHAnsi" w:hAnsiTheme="majorBidi"/>
          <w:b/>
          <w:bCs/>
          <w:kern w:val="2"/>
          <w:sz w:val="28"/>
          <w:szCs w:val="28"/>
        </w:rPr>
      </w:pPr>
    </w:p>
    <w:p w14:paraId="7E7B3E4B" w14:textId="061CC400" w:rsidR="0083496A" w:rsidRPr="009A4900" w:rsidRDefault="0083496A" w:rsidP="009A4900">
      <w:pPr>
        <w:pStyle w:val="Title"/>
        <w:widowControl w:val="0"/>
        <w:numPr>
          <w:ilvl w:val="0"/>
          <w:numId w:val="35"/>
        </w:numPr>
        <w:autoSpaceDE w:val="0"/>
        <w:autoSpaceDN w:val="0"/>
        <w:spacing w:after="0" w:line="276" w:lineRule="auto"/>
        <w:ind w:right="455"/>
        <w:contextualSpacing w:val="0"/>
        <w:rPr>
          <w:rFonts w:asciiTheme="majorBidi" w:eastAsiaTheme="minorHAnsi" w:hAnsiTheme="majorBidi"/>
          <w:b/>
          <w:bCs/>
          <w:kern w:val="2"/>
          <w:sz w:val="28"/>
          <w:szCs w:val="28"/>
        </w:rPr>
      </w:pPr>
      <w:r w:rsidRPr="009A4900">
        <w:rPr>
          <w:rFonts w:asciiTheme="majorBidi" w:eastAsiaTheme="minorHAnsi" w:hAnsiTheme="majorBidi"/>
          <w:b/>
          <w:bCs/>
          <w:kern w:val="2"/>
          <w:sz w:val="28"/>
          <w:szCs w:val="28"/>
        </w:rPr>
        <w:lastRenderedPageBreak/>
        <w:t>Mécanisme de Gestion des Plaintes (MGP)</w:t>
      </w:r>
      <w:bookmarkEnd w:id="17"/>
    </w:p>
    <w:p w14:paraId="17F99516" w14:textId="77777777" w:rsidR="009A4900" w:rsidRDefault="009A4900" w:rsidP="00433D9E">
      <w:pPr>
        <w:spacing w:line="257" w:lineRule="auto"/>
        <w:jc w:val="both"/>
        <w:rPr>
          <w:rFonts w:ascii="Aptos" w:eastAsia="Aptos" w:hAnsi="Aptos" w:cs="Aptos"/>
        </w:rPr>
      </w:pPr>
    </w:p>
    <w:p w14:paraId="5911BFDA" w14:textId="4C2AF87A" w:rsidR="0083496A" w:rsidRPr="009A4900" w:rsidRDefault="4C2AE14B" w:rsidP="009A4900">
      <w:pPr>
        <w:spacing w:line="276" w:lineRule="auto"/>
        <w:jc w:val="both"/>
        <w:rPr>
          <w:rFonts w:asciiTheme="majorBidi" w:hAnsiTheme="majorBidi" w:cstheme="majorBidi"/>
          <w:sz w:val="24"/>
          <w:szCs w:val="24"/>
        </w:rPr>
      </w:pPr>
      <w:r w:rsidRPr="009A4900">
        <w:rPr>
          <w:rFonts w:asciiTheme="majorBidi" w:eastAsia="Aptos" w:hAnsiTheme="majorBidi" w:cstheme="majorBidi"/>
          <w:sz w:val="24"/>
          <w:szCs w:val="24"/>
          <w:lang w:val="fr"/>
        </w:rPr>
        <w:t>Le projet adaptera et rendra opérationnel, avant le démarrage des activités, le mécanisme de gestion des plaintes existant de DREAM 1-A. Le MGP sera gratuit, accessible, transparent, inclusif et adapté à la culture locale. Il recevra les demandes d’information, préoccupations et plaintes liées à toutes les composantes, sans condition d’identification et sans préjudice du droit de saisir les voies administratives ou judiciaires. Les parties prenantes seront informées des canaux, délais, voies de recours et mesures de protection contre les représailles. Les deux UGP utiliseront un registre harmonisé et un protocole commun de transfert des plaintes, sous réserve des règles de confidentialité.</w:t>
      </w:r>
      <w:r w:rsidRPr="009A4900">
        <w:rPr>
          <w:rFonts w:asciiTheme="majorBidi" w:hAnsiTheme="majorBidi" w:cstheme="majorBidi"/>
          <w:sz w:val="24"/>
          <w:szCs w:val="24"/>
        </w:rPr>
        <w:t xml:space="preserve"> </w:t>
      </w:r>
    </w:p>
    <w:p w14:paraId="18F9EABC" w14:textId="77777777" w:rsidR="0083496A" w:rsidRPr="009A4900" w:rsidRDefault="0083496A" w:rsidP="009A4900">
      <w:pPr>
        <w:spacing w:line="276" w:lineRule="auto"/>
        <w:jc w:val="both"/>
        <w:rPr>
          <w:rFonts w:asciiTheme="majorBidi" w:hAnsiTheme="majorBidi" w:cstheme="majorBidi"/>
          <w:sz w:val="24"/>
          <w:szCs w:val="24"/>
        </w:rPr>
      </w:pPr>
      <w:r w:rsidRPr="009A4900">
        <w:rPr>
          <w:rFonts w:asciiTheme="majorBidi" w:hAnsiTheme="majorBidi" w:cstheme="majorBidi"/>
          <w:sz w:val="24"/>
          <w:szCs w:val="24"/>
        </w:rPr>
        <w:t>L’un de ses objectifs majeurs est d’éviter les nombreux recours au système judiciaire et de toujours rechercher en priorité une solution à l’amiable, tout en préservant les intérêts des plaignants et du promoteur et limiter ainsi les risques inévitablement liés aux actions judiciaires.</w:t>
      </w:r>
    </w:p>
    <w:p w14:paraId="750C505E" w14:textId="51A3EFF6" w:rsidR="0083496A" w:rsidRPr="009A4900" w:rsidRDefault="5D1EBAEC" w:rsidP="009A4900">
      <w:pPr>
        <w:spacing w:line="276" w:lineRule="auto"/>
        <w:jc w:val="both"/>
        <w:rPr>
          <w:rFonts w:asciiTheme="majorBidi" w:eastAsia="Aptos" w:hAnsiTheme="majorBidi" w:cstheme="majorBidi"/>
          <w:sz w:val="24"/>
          <w:szCs w:val="24"/>
          <w:lang w:val="fr"/>
        </w:rPr>
      </w:pPr>
      <w:r w:rsidRPr="009A4900">
        <w:rPr>
          <w:rFonts w:asciiTheme="majorBidi" w:eastAsia="Aptos" w:hAnsiTheme="majorBidi" w:cstheme="majorBidi"/>
          <w:sz w:val="24"/>
          <w:szCs w:val="24"/>
          <w:lang w:val="fr"/>
        </w:rPr>
        <w:t>Les plaintes relatives à l’EAS/HS seront traitées par un circuit distinct, confidentiel et centré sur la survivante. Seules les informations minimales nécessaires seront enregistrées ; aucune médiation, confrontation ni enquête de fond ne sera conduite par les comités ordinaires. Avec le consentement éclairé de la survivante, le point focal formé assurera une orientation sûre vers les services de santé, psychosociaux, juridiques et de protection identifiée. Les rapports agrégés ne contiendront aucune donnée permettant d’identifier une survivante.</w:t>
      </w:r>
    </w:p>
    <w:p w14:paraId="3FF84501" w14:textId="77777777" w:rsidR="0083496A" w:rsidRDefault="0083496A" w:rsidP="009A4900">
      <w:pPr>
        <w:spacing w:line="276" w:lineRule="auto"/>
        <w:jc w:val="both"/>
        <w:rPr>
          <w:rFonts w:asciiTheme="majorBidi" w:hAnsiTheme="majorBidi" w:cstheme="majorBidi"/>
          <w:sz w:val="24"/>
          <w:szCs w:val="24"/>
        </w:rPr>
      </w:pPr>
      <w:r w:rsidRPr="009A4900">
        <w:rPr>
          <w:rFonts w:asciiTheme="majorBidi" w:hAnsiTheme="majorBidi" w:cstheme="majorBidi"/>
          <w:sz w:val="24"/>
          <w:szCs w:val="24"/>
        </w:rPr>
        <w:t>Ce mécanisme doit être simple, efficace, transparent, et compatible avec les droits de l’homme et le contexte du pays. Il doit être basé sur l’engagement et le dialogue permanent entre les parties prenantes du projet.</w:t>
      </w:r>
    </w:p>
    <w:p w14:paraId="0A10D238" w14:textId="14975FFB" w:rsidR="009A4900" w:rsidRDefault="00F80074" w:rsidP="008E033E">
      <w:pPr>
        <w:spacing w:line="276" w:lineRule="auto"/>
        <w:jc w:val="both"/>
        <w:rPr>
          <w:rFonts w:asciiTheme="majorBidi" w:eastAsia="Segoe UI" w:hAnsiTheme="majorBidi" w:cstheme="majorBidi"/>
          <w:b/>
          <w:bCs/>
          <w:color w:val="242424"/>
          <w:sz w:val="24"/>
          <w:szCs w:val="24"/>
        </w:rPr>
      </w:pPr>
      <w:r w:rsidRPr="008E033E">
        <w:rPr>
          <w:rFonts w:asciiTheme="majorBidi" w:eastAsia="Aptos" w:hAnsiTheme="majorBidi" w:cstheme="majorBidi"/>
          <w:b/>
          <w:bCs/>
          <w:sz w:val="24"/>
          <w:szCs w:val="24"/>
        </w:rPr>
        <w:t>Les</w:t>
      </w:r>
      <w:r w:rsidR="00176031" w:rsidRPr="008E033E">
        <w:rPr>
          <w:rFonts w:asciiTheme="majorBidi" w:eastAsia="Aptos" w:hAnsiTheme="majorBidi" w:cstheme="majorBidi"/>
          <w:b/>
          <w:bCs/>
          <w:sz w:val="24"/>
          <w:szCs w:val="24"/>
        </w:rPr>
        <w:t xml:space="preserve"> plaintes seront gérées de façon séparée par les deux Unités de Gestion. Chaque Unité mettra en place les mécanismes de gestion et traitera les plaintes relevant de ses activités. Les données relatives aux plaintes des deux UGP seront par la suite consolidées dans un seul document par l'UGP</w:t>
      </w:r>
      <w:r w:rsidR="008E033E" w:rsidRPr="008E033E">
        <w:rPr>
          <w:rFonts w:asciiTheme="majorBidi" w:eastAsia="Aptos" w:hAnsiTheme="majorBidi" w:cstheme="majorBidi"/>
          <w:b/>
          <w:bCs/>
          <w:sz w:val="24"/>
          <w:szCs w:val="24"/>
        </w:rPr>
        <w:t>-MEP</w:t>
      </w:r>
      <w:r w:rsidR="00176031" w:rsidRPr="008E033E">
        <w:rPr>
          <w:rFonts w:asciiTheme="majorBidi" w:eastAsia="Aptos" w:hAnsiTheme="majorBidi" w:cstheme="majorBidi"/>
          <w:b/>
          <w:bCs/>
          <w:sz w:val="24"/>
          <w:szCs w:val="24"/>
        </w:rPr>
        <w:t xml:space="preserve"> désignée </w:t>
      </w:r>
      <w:r w:rsidR="00143061" w:rsidRPr="008E033E">
        <w:rPr>
          <w:rFonts w:asciiTheme="majorBidi" w:eastAsia="Segoe UI" w:hAnsiTheme="majorBidi" w:cstheme="majorBidi"/>
          <w:b/>
          <w:bCs/>
          <w:color w:val="242424"/>
          <w:sz w:val="24"/>
          <w:szCs w:val="24"/>
        </w:rPr>
        <w:t>comme point focal pour la consolidation de l’ensemble des plaintes et des retours des parties prenantes</w:t>
      </w:r>
      <w:r w:rsidR="008E033E">
        <w:rPr>
          <w:rFonts w:asciiTheme="majorBidi" w:eastAsia="Segoe UI" w:hAnsiTheme="majorBidi" w:cstheme="majorBidi"/>
          <w:b/>
          <w:bCs/>
          <w:color w:val="242424"/>
          <w:sz w:val="24"/>
          <w:szCs w:val="24"/>
        </w:rPr>
        <w:t>.</w:t>
      </w:r>
    </w:p>
    <w:p w14:paraId="5CF4A654" w14:textId="4A3611A5" w:rsidR="0083496A" w:rsidRPr="009A4900" w:rsidRDefault="0083496A" w:rsidP="009A4900">
      <w:pPr>
        <w:pStyle w:val="Heading2"/>
        <w:numPr>
          <w:ilvl w:val="1"/>
          <w:numId w:val="35"/>
        </w:numPr>
        <w:spacing w:before="0" w:after="240" w:line="276" w:lineRule="auto"/>
        <w:ind w:left="900" w:hanging="540"/>
        <w:jc w:val="both"/>
        <w:rPr>
          <w:rFonts w:asciiTheme="majorBidi" w:eastAsiaTheme="minorHAnsi" w:hAnsiTheme="majorBidi"/>
          <w:b/>
          <w:bCs/>
          <w:color w:val="auto"/>
          <w:sz w:val="24"/>
          <w:szCs w:val="24"/>
        </w:rPr>
      </w:pPr>
      <w:bookmarkStart w:id="18" w:name="_Toc241155400"/>
      <w:bookmarkStart w:id="19" w:name="_Hlk241073739"/>
      <w:r w:rsidRPr="009A4900">
        <w:rPr>
          <w:rFonts w:asciiTheme="majorBidi" w:eastAsiaTheme="minorHAnsi" w:hAnsiTheme="majorBidi"/>
          <w:b/>
          <w:bCs/>
          <w:color w:val="auto"/>
          <w:sz w:val="24"/>
          <w:szCs w:val="24"/>
        </w:rPr>
        <w:t>Les principes fondamentaux</w:t>
      </w:r>
      <w:bookmarkEnd w:id="18"/>
    </w:p>
    <w:p w14:paraId="309DC9F8" w14:textId="77777777" w:rsidR="0083496A" w:rsidRPr="009A4900" w:rsidRDefault="0083496A" w:rsidP="009A4900">
      <w:pPr>
        <w:spacing w:line="276" w:lineRule="auto"/>
        <w:jc w:val="both"/>
        <w:rPr>
          <w:rFonts w:asciiTheme="majorBidi" w:hAnsiTheme="majorBidi" w:cstheme="majorBidi"/>
          <w:sz w:val="24"/>
          <w:szCs w:val="24"/>
        </w:rPr>
      </w:pPr>
      <w:r w:rsidRPr="009A4900">
        <w:rPr>
          <w:rFonts w:asciiTheme="majorBidi" w:hAnsiTheme="majorBidi" w:cstheme="majorBidi"/>
          <w:sz w:val="24"/>
          <w:szCs w:val="24"/>
        </w:rPr>
        <w:t>Pour s’assurer qu’un système de plaintes est efficace, fiable et opérationnel, les principes fondamentaux suivants doivent être respectés : la Participation des parties prenantes doit être en permanence dans les activités du projet (de sa conception à sa mise en œuvre) ; la contextualisation de MGP ; le sentiment de sécurité des plaignants ; la confidentialité, la transparence, l’accessibilité et la célérité dans le traitement des réclamations.</w:t>
      </w:r>
    </w:p>
    <w:p w14:paraId="4DF53FE1" w14:textId="129FC71E" w:rsidR="60D215B1" w:rsidRPr="009A4900" w:rsidRDefault="004638BA" w:rsidP="009A4900">
      <w:pPr>
        <w:pStyle w:val="Heading2"/>
        <w:numPr>
          <w:ilvl w:val="1"/>
          <w:numId w:val="35"/>
        </w:numPr>
        <w:spacing w:before="0" w:after="240" w:line="276" w:lineRule="auto"/>
        <w:ind w:left="900" w:hanging="540"/>
        <w:jc w:val="both"/>
        <w:rPr>
          <w:rFonts w:asciiTheme="majorBidi" w:eastAsiaTheme="minorHAnsi" w:hAnsiTheme="majorBidi"/>
          <w:b/>
          <w:bCs/>
          <w:color w:val="auto"/>
          <w:sz w:val="24"/>
          <w:szCs w:val="24"/>
        </w:rPr>
      </w:pPr>
      <w:r w:rsidRPr="009A4900">
        <w:rPr>
          <w:rFonts w:asciiTheme="majorBidi" w:eastAsiaTheme="minorHAnsi" w:hAnsiTheme="majorBidi"/>
          <w:b/>
          <w:bCs/>
          <w:color w:val="auto"/>
          <w:sz w:val="24"/>
          <w:szCs w:val="24"/>
        </w:rPr>
        <w:t>C</w:t>
      </w:r>
      <w:r w:rsidR="0083496A" w:rsidRPr="009A4900">
        <w:rPr>
          <w:rFonts w:asciiTheme="majorBidi" w:eastAsiaTheme="minorHAnsi" w:hAnsiTheme="majorBidi"/>
          <w:b/>
          <w:bCs/>
          <w:color w:val="auto"/>
          <w:sz w:val="24"/>
          <w:szCs w:val="24"/>
        </w:rPr>
        <w:t>anaux de remontée de l’information</w:t>
      </w:r>
    </w:p>
    <w:p w14:paraId="08BF4E61" w14:textId="55FFE3D5" w:rsidR="0083496A" w:rsidRPr="009A4900" w:rsidRDefault="238F4962" w:rsidP="009A4900">
      <w:pPr>
        <w:spacing w:line="276" w:lineRule="auto"/>
        <w:jc w:val="both"/>
      </w:pPr>
      <w:r w:rsidRPr="2639782B">
        <w:rPr>
          <w:rFonts w:asciiTheme="majorBidi" w:eastAsia="Aptos" w:hAnsiTheme="majorBidi" w:cstheme="majorBidi"/>
          <w:sz w:val="24"/>
          <w:szCs w:val="24"/>
          <w:lang w:val="fr"/>
        </w:rPr>
        <w:t xml:space="preserve">Les plaintes pourront être déposées oralement ou par écrit auprès des points focaux locaux et des UGP, par téléphone sur une ligne dédiée, par courrier, courriel, formulaire en ligne, boîte à suggestions ou demande d’audience. Les coordonnées vérifiées, heures de disponibilité et points de dépôt seront publiés sur les sites des UGP, affichés dans les communes concernées et communiqués dans les langues pertinentes. Le dépôt anonyme sera accepté. Un accusé de </w:t>
      </w:r>
      <w:r w:rsidRPr="2639782B">
        <w:rPr>
          <w:rFonts w:asciiTheme="majorBidi" w:eastAsia="Aptos" w:hAnsiTheme="majorBidi" w:cstheme="majorBidi"/>
          <w:sz w:val="24"/>
          <w:szCs w:val="24"/>
          <w:lang w:val="fr"/>
        </w:rPr>
        <w:lastRenderedPageBreak/>
        <w:t>réception sera transmis dans un délai maximal de deux jours ouvrables ; la recevabilité et l’affectation seront réalisées sous cinq jours ouvrables ; une réponse motivée sera fournie dans un délai maximal de quinze jours ouvrables, ou le plaignant sera informé par écrit des raisons justifiant un délai supplémentaire. Une voie de réexamen interne sera disponible avant clôture.</w:t>
      </w:r>
    </w:p>
    <w:p w14:paraId="0744BFEA" w14:textId="5362CC55" w:rsidR="009A4900" w:rsidRDefault="7400DE0D" w:rsidP="00CA69C1">
      <w:pPr>
        <w:spacing w:line="276" w:lineRule="auto"/>
        <w:jc w:val="both"/>
        <w:rPr>
          <w:rFonts w:asciiTheme="majorBidi" w:eastAsia="Aptos" w:hAnsiTheme="majorBidi" w:cstheme="majorBidi"/>
          <w:sz w:val="24"/>
          <w:szCs w:val="24"/>
          <w:lang w:val="fr"/>
        </w:rPr>
      </w:pPr>
      <w:r w:rsidRPr="2639782B">
        <w:rPr>
          <w:rFonts w:asciiTheme="majorBidi" w:eastAsia="Aptos" w:hAnsiTheme="majorBidi" w:cstheme="majorBidi"/>
          <w:sz w:val="24"/>
          <w:szCs w:val="24"/>
          <w:lang w:val="fr"/>
        </w:rPr>
        <w:t>Les plaintes peuvent être soumises par plusieurs canaux afin de garantir l'accessibilité du mécanisme : ligne téléphonique, SMS, courriel, courrier écrit, points focaux locaux, formulaires de plainte, registres de doléances, boîtes à suggestions et plateforme numérique de gestion des réclamations</w:t>
      </w:r>
      <w:r w:rsidR="00CA69C1">
        <w:rPr>
          <w:rFonts w:asciiTheme="majorBidi" w:eastAsia="Aptos" w:hAnsiTheme="majorBidi" w:cstheme="majorBidi"/>
          <w:sz w:val="24"/>
          <w:szCs w:val="24"/>
          <w:lang w:val="fr"/>
        </w:rPr>
        <w:t>.</w:t>
      </w:r>
    </w:p>
    <w:p w14:paraId="0CBE6652" w14:textId="2A890E8D" w:rsidR="0083496A" w:rsidRPr="009A4900" w:rsidRDefault="0083496A" w:rsidP="009A4900">
      <w:pPr>
        <w:spacing w:line="276" w:lineRule="auto"/>
        <w:jc w:val="both"/>
        <w:rPr>
          <w:rFonts w:asciiTheme="majorBidi" w:hAnsiTheme="majorBidi" w:cstheme="majorBidi"/>
          <w:sz w:val="24"/>
          <w:szCs w:val="24"/>
        </w:rPr>
      </w:pPr>
      <w:r w:rsidRPr="009A4900">
        <w:rPr>
          <w:rFonts w:asciiTheme="majorBidi" w:hAnsiTheme="majorBidi" w:cstheme="majorBidi"/>
          <w:sz w:val="24"/>
          <w:szCs w:val="24"/>
        </w:rPr>
        <w:t>Les principales étapes du système sont : (i) la Réception et l’Enregistrement ; (ii) l’analyse, (iii) le Traitement, et (iv) le Feedback et la clôture</w:t>
      </w:r>
      <w:r w:rsidR="009A4900">
        <w:rPr>
          <w:rFonts w:asciiTheme="majorBidi" w:hAnsiTheme="majorBidi" w:cstheme="majorBidi"/>
          <w:sz w:val="24"/>
          <w:szCs w:val="24"/>
        </w:rPr>
        <w:t xml:space="preserve">, </w:t>
      </w:r>
      <w:r w:rsidR="00420794">
        <w:rPr>
          <w:rFonts w:asciiTheme="majorBidi" w:hAnsiTheme="majorBidi" w:cstheme="majorBidi"/>
          <w:sz w:val="24"/>
          <w:szCs w:val="24"/>
        </w:rPr>
        <w:t>v) l’archivage.</w:t>
      </w:r>
    </w:p>
    <w:p w14:paraId="7F681CCB" w14:textId="77777777" w:rsidR="0083496A" w:rsidRPr="009A4900" w:rsidRDefault="0083496A" w:rsidP="009A4900">
      <w:pPr>
        <w:spacing w:line="276" w:lineRule="auto"/>
        <w:jc w:val="both"/>
        <w:rPr>
          <w:rFonts w:asciiTheme="majorBidi" w:hAnsiTheme="majorBidi" w:cstheme="majorBidi"/>
          <w:sz w:val="24"/>
          <w:szCs w:val="24"/>
        </w:rPr>
      </w:pPr>
      <w:r w:rsidRPr="009A4900">
        <w:rPr>
          <w:rFonts w:asciiTheme="majorBidi" w:hAnsiTheme="majorBidi" w:cstheme="majorBidi"/>
          <w:sz w:val="24"/>
          <w:szCs w:val="24"/>
        </w:rPr>
        <w:t xml:space="preserve">Le tableau ci-après décrit de façon succincte, le mécanisme de gestion des plaintes proposé pour le projet </w:t>
      </w:r>
    </w:p>
    <w:bookmarkEnd w:id="19"/>
    <w:tbl>
      <w:tblPr>
        <w:tblW w:w="5609" w:type="pct"/>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2"/>
        <w:gridCol w:w="1698"/>
        <w:gridCol w:w="4070"/>
        <w:gridCol w:w="1984"/>
        <w:gridCol w:w="1702"/>
      </w:tblGrid>
      <w:tr w:rsidR="0083496A" w:rsidRPr="009A4900" w14:paraId="316F0608" w14:textId="77777777" w:rsidTr="2639782B">
        <w:trPr>
          <w:tblHeader/>
        </w:trPr>
        <w:tc>
          <w:tcPr>
            <w:tcW w:w="350" w:type="pct"/>
            <w:shd w:val="clear" w:color="auto" w:fill="00B0F0"/>
            <w:vAlign w:val="center"/>
          </w:tcPr>
          <w:p w14:paraId="5825A31D" w14:textId="77777777" w:rsidR="0083496A" w:rsidRPr="00420794" w:rsidRDefault="0083496A" w:rsidP="00420794">
            <w:pPr>
              <w:widowControl w:val="0"/>
              <w:autoSpaceDE w:val="0"/>
              <w:autoSpaceDN w:val="0"/>
              <w:spacing w:after="0" w:line="240" w:lineRule="auto"/>
              <w:ind w:left="393" w:right="455"/>
              <w:jc w:val="both"/>
              <w:rPr>
                <w:rFonts w:asciiTheme="majorBidi" w:eastAsia="Trebuchet MS" w:hAnsiTheme="majorBidi" w:cstheme="majorBidi"/>
                <w:b/>
                <w:bCs/>
                <w:sz w:val="18"/>
                <w:szCs w:val="18"/>
              </w:rPr>
            </w:pPr>
          </w:p>
        </w:tc>
        <w:tc>
          <w:tcPr>
            <w:tcW w:w="835" w:type="pct"/>
            <w:shd w:val="clear" w:color="auto" w:fill="00B0F0"/>
            <w:vAlign w:val="center"/>
          </w:tcPr>
          <w:p w14:paraId="36EF63AE" w14:textId="77777777" w:rsidR="0083496A" w:rsidRPr="00420794" w:rsidRDefault="0083496A" w:rsidP="00420794">
            <w:pPr>
              <w:widowControl w:val="0"/>
              <w:autoSpaceDE w:val="0"/>
              <w:autoSpaceDN w:val="0"/>
              <w:spacing w:after="0" w:line="240" w:lineRule="auto"/>
              <w:ind w:left="393" w:right="455"/>
              <w:jc w:val="both"/>
              <w:rPr>
                <w:rFonts w:asciiTheme="majorBidi" w:eastAsia="Trebuchet MS" w:hAnsiTheme="majorBidi" w:cstheme="majorBidi"/>
                <w:b/>
                <w:bCs/>
                <w:sz w:val="18"/>
                <w:szCs w:val="18"/>
              </w:rPr>
            </w:pPr>
            <w:r w:rsidRPr="00420794">
              <w:rPr>
                <w:rFonts w:asciiTheme="majorBidi" w:eastAsia="Trebuchet MS" w:hAnsiTheme="majorBidi" w:cstheme="majorBidi"/>
                <w:b/>
                <w:bCs/>
                <w:sz w:val="18"/>
                <w:szCs w:val="18"/>
              </w:rPr>
              <w:t>Etape</w:t>
            </w:r>
          </w:p>
        </w:tc>
        <w:tc>
          <w:tcPr>
            <w:tcW w:w="2002" w:type="pct"/>
            <w:shd w:val="clear" w:color="auto" w:fill="00B0F0"/>
            <w:vAlign w:val="center"/>
          </w:tcPr>
          <w:p w14:paraId="18CFE361" w14:textId="77777777" w:rsidR="0083496A" w:rsidRPr="00420794" w:rsidRDefault="0083496A" w:rsidP="00420794">
            <w:pPr>
              <w:widowControl w:val="0"/>
              <w:autoSpaceDE w:val="0"/>
              <w:autoSpaceDN w:val="0"/>
              <w:spacing w:after="0" w:line="240" w:lineRule="auto"/>
              <w:ind w:left="393" w:right="455"/>
              <w:jc w:val="both"/>
              <w:rPr>
                <w:rFonts w:asciiTheme="majorBidi" w:eastAsia="Trebuchet MS" w:hAnsiTheme="majorBidi" w:cstheme="majorBidi"/>
                <w:b/>
                <w:bCs/>
                <w:sz w:val="18"/>
                <w:szCs w:val="18"/>
              </w:rPr>
            </w:pPr>
            <w:r w:rsidRPr="00420794">
              <w:rPr>
                <w:rFonts w:asciiTheme="majorBidi" w:eastAsia="Trebuchet MS" w:hAnsiTheme="majorBidi" w:cstheme="majorBidi"/>
                <w:b/>
                <w:bCs/>
                <w:sz w:val="18"/>
                <w:szCs w:val="18"/>
              </w:rPr>
              <w:t>Activité</w:t>
            </w:r>
          </w:p>
        </w:tc>
        <w:tc>
          <w:tcPr>
            <w:tcW w:w="976" w:type="pct"/>
            <w:shd w:val="clear" w:color="auto" w:fill="00B0F0"/>
            <w:vAlign w:val="center"/>
          </w:tcPr>
          <w:p w14:paraId="7A52B98E" w14:textId="77777777" w:rsidR="0083496A" w:rsidRPr="00420794" w:rsidRDefault="0083496A" w:rsidP="00420794">
            <w:pPr>
              <w:widowControl w:val="0"/>
              <w:autoSpaceDE w:val="0"/>
              <w:autoSpaceDN w:val="0"/>
              <w:spacing w:after="0" w:line="240" w:lineRule="auto"/>
              <w:ind w:left="393" w:right="455"/>
              <w:jc w:val="both"/>
              <w:rPr>
                <w:rFonts w:asciiTheme="majorBidi" w:eastAsia="Trebuchet MS" w:hAnsiTheme="majorBidi" w:cstheme="majorBidi"/>
                <w:b/>
                <w:bCs/>
                <w:sz w:val="18"/>
                <w:szCs w:val="18"/>
              </w:rPr>
            </w:pPr>
            <w:r w:rsidRPr="00420794">
              <w:rPr>
                <w:rFonts w:asciiTheme="majorBidi" w:eastAsia="Trebuchet MS" w:hAnsiTheme="majorBidi" w:cstheme="majorBidi"/>
                <w:b/>
                <w:bCs/>
                <w:sz w:val="18"/>
                <w:szCs w:val="18"/>
              </w:rPr>
              <w:t>Acteurs</w:t>
            </w:r>
          </w:p>
        </w:tc>
        <w:tc>
          <w:tcPr>
            <w:tcW w:w="837" w:type="pct"/>
            <w:shd w:val="clear" w:color="auto" w:fill="00B0F0"/>
            <w:vAlign w:val="center"/>
          </w:tcPr>
          <w:p w14:paraId="52A57B10" w14:textId="77777777" w:rsidR="0083496A" w:rsidRPr="00420794" w:rsidRDefault="0083496A" w:rsidP="00420794">
            <w:pPr>
              <w:widowControl w:val="0"/>
              <w:autoSpaceDE w:val="0"/>
              <w:autoSpaceDN w:val="0"/>
              <w:spacing w:after="0" w:line="240" w:lineRule="auto"/>
              <w:ind w:left="393" w:right="455"/>
              <w:jc w:val="both"/>
              <w:rPr>
                <w:rFonts w:asciiTheme="majorBidi" w:eastAsia="Trebuchet MS" w:hAnsiTheme="majorBidi" w:cstheme="majorBidi"/>
                <w:b/>
                <w:bCs/>
                <w:sz w:val="18"/>
                <w:szCs w:val="18"/>
              </w:rPr>
            </w:pPr>
            <w:r w:rsidRPr="00420794">
              <w:rPr>
                <w:rFonts w:asciiTheme="majorBidi" w:eastAsia="Trebuchet MS" w:hAnsiTheme="majorBidi" w:cstheme="majorBidi"/>
                <w:b/>
                <w:bCs/>
                <w:sz w:val="18"/>
                <w:szCs w:val="18"/>
              </w:rPr>
              <w:t>Délais</w:t>
            </w:r>
          </w:p>
        </w:tc>
      </w:tr>
      <w:tr w:rsidR="0083496A" w:rsidRPr="009A4900" w14:paraId="5D442503" w14:textId="77777777" w:rsidTr="2639782B">
        <w:tc>
          <w:tcPr>
            <w:tcW w:w="350" w:type="pct"/>
            <w:vAlign w:val="center"/>
          </w:tcPr>
          <w:p w14:paraId="0B4725FE" w14:textId="77777777" w:rsidR="0083496A" w:rsidRPr="00420794" w:rsidRDefault="0083496A" w:rsidP="00420794">
            <w:pPr>
              <w:widowControl w:val="0"/>
              <w:autoSpaceDE w:val="0"/>
              <w:autoSpaceDN w:val="0"/>
              <w:spacing w:after="0" w:line="240" w:lineRule="auto"/>
              <w:ind w:right="455"/>
              <w:jc w:val="both"/>
              <w:rPr>
                <w:rFonts w:asciiTheme="majorBidi" w:eastAsia="Trebuchet MS" w:hAnsiTheme="majorBidi" w:cstheme="majorBidi"/>
                <w:bCs/>
                <w:sz w:val="18"/>
                <w:szCs w:val="18"/>
              </w:rPr>
            </w:pPr>
            <w:r w:rsidRPr="00420794">
              <w:rPr>
                <w:rFonts w:asciiTheme="majorBidi" w:eastAsia="Trebuchet MS" w:hAnsiTheme="majorBidi" w:cstheme="majorBidi"/>
                <w:bCs/>
                <w:sz w:val="18"/>
                <w:szCs w:val="18"/>
              </w:rPr>
              <w:t>1</w:t>
            </w:r>
          </w:p>
        </w:tc>
        <w:tc>
          <w:tcPr>
            <w:tcW w:w="835" w:type="pct"/>
            <w:vAlign w:val="center"/>
          </w:tcPr>
          <w:p w14:paraId="438946E2" w14:textId="77777777" w:rsidR="0083496A" w:rsidRPr="00420794" w:rsidRDefault="0083496A" w:rsidP="00420794">
            <w:pPr>
              <w:spacing w:line="240" w:lineRule="auto"/>
              <w:jc w:val="both"/>
              <w:rPr>
                <w:rFonts w:asciiTheme="majorBidi" w:eastAsia="Trebuchet MS" w:hAnsiTheme="majorBidi" w:cstheme="majorBidi"/>
                <w:bCs/>
                <w:sz w:val="18"/>
                <w:szCs w:val="18"/>
              </w:rPr>
            </w:pPr>
            <w:r w:rsidRPr="00420794">
              <w:rPr>
                <w:rFonts w:asciiTheme="majorBidi" w:eastAsia="Trebuchet MS" w:hAnsiTheme="majorBidi" w:cstheme="majorBidi"/>
                <w:bCs/>
                <w:sz w:val="18"/>
                <w:szCs w:val="18"/>
              </w:rPr>
              <w:t>Réception et Enregistrement </w:t>
            </w:r>
          </w:p>
        </w:tc>
        <w:tc>
          <w:tcPr>
            <w:tcW w:w="2002" w:type="pct"/>
            <w:vAlign w:val="center"/>
          </w:tcPr>
          <w:p w14:paraId="04711C21" w14:textId="77777777" w:rsidR="0083496A" w:rsidRPr="00420794" w:rsidRDefault="0083496A" w:rsidP="00916C0D">
            <w:pPr>
              <w:tabs>
                <w:tab w:val="num" w:pos="720"/>
              </w:tabs>
              <w:spacing w:line="240" w:lineRule="auto"/>
              <w:jc w:val="both"/>
              <w:rPr>
                <w:rFonts w:asciiTheme="majorBidi" w:eastAsia="Trebuchet MS" w:hAnsiTheme="majorBidi" w:cstheme="majorBidi"/>
                <w:bCs/>
                <w:sz w:val="18"/>
                <w:szCs w:val="18"/>
              </w:rPr>
            </w:pPr>
            <w:r w:rsidRPr="00420794">
              <w:rPr>
                <w:rFonts w:asciiTheme="majorBidi" w:eastAsia="Trebuchet MS" w:hAnsiTheme="majorBidi" w:cstheme="majorBidi"/>
                <w:bCs/>
                <w:sz w:val="18"/>
                <w:szCs w:val="18"/>
              </w:rPr>
              <w:t xml:space="preserve">Réceptionner et Enregistrer des plaintes. </w:t>
            </w:r>
          </w:p>
          <w:p w14:paraId="0250D12B" w14:textId="77777777" w:rsidR="0083496A" w:rsidRPr="00420794" w:rsidRDefault="0083496A" w:rsidP="00916C0D">
            <w:pPr>
              <w:widowControl w:val="0"/>
              <w:autoSpaceDE w:val="0"/>
              <w:autoSpaceDN w:val="0"/>
              <w:spacing w:after="0" w:line="240" w:lineRule="auto"/>
              <w:jc w:val="both"/>
              <w:rPr>
                <w:rFonts w:asciiTheme="majorBidi" w:eastAsia="Trebuchet MS" w:hAnsiTheme="majorBidi" w:cstheme="majorBidi"/>
                <w:bCs/>
                <w:sz w:val="18"/>
                <w:szCs w:val="18"/>
              </w:rPr>
            </w:pPr>
            <w:r w:rsidRPr="00420794">
              <w:rPr>
                <w:rFonts w:asciiTheme="majorBidi" w:eastAsia="Trebuchet MS" w:hAnsiTheme="majorBidi" w:cstheme="majorBidi"/>
                <w:bCs/>
                <w:sz w:val="18"/>
                <w:szCs w:val="18"/>
              </w:rPr>
              <w:t>Un registre (ou un formulaire) des plaintes sera mis à disposition et portant les informations suivantes :</w:t>
            </w:r>
          </w:p>
          <w:p w14:paraId="7175146B" w14:textId="77777777" w:rsidR="0083496A" w:rsidRPr="00420794" w:rsidRDefault="0083496A" w:rsidP="00916C0D">
            <w:pPr>
              <w:widowControl w:val="0"/>
              <w:numPr>
                <w:ilvl w:val="0"/>
                <w:numId w:val="30"/>
              </w:numPr>
              <w:autoSpaceDE w:val="0"/>
              <w:autoSpaceDN w:val="0"/>
              <w:spacing w:after="0" w:line="240" w:lineRule="auto"/>
              <w:ind w:left="303"/>
              <w:jc w:val="both"/>
              <w:rPr>
                <w:rFonts w:asciiTheme="majorBidi" w:eastAsia="Trebuchet MS" w:hAnsiTheme="majorBidi" w:cstheme="majorBidi"/>
                <w:bCs/>
                <w:sz w:val="18"/>
                <w:szCs w:val="18"/>
              </w:rPr>
            </w:pPr>
            <w:r w:rsidRPr="00420794">
              <w:rPr>
                <w:rFonts w:asciiTheme="majorBidi" w:eastAsia="Trebuchet MS" w:hAnsiTheme="majorBidi" w:cstheme="majorBidi"/>
                <w:bCs/>
                <w:sz w:val="18"/>
                <w:szCs w:val="18"/>
              </w:rPr>
              <w:t xml:space="preserve">le numéro d'identification de la plainte, </w:t>
            </w:r>
          </w:p>
          <w:p w14:paraId="339D36C0" w14:textId="77777777" w:rsidR="0083496A" w:rsidRPr="00420794" w:rsidRDefault="0083496A" w:rsidP="00916C0D">
            <w:pPr>
              <w:widowControl w:val="0"/>
              <w:numPr>
                <w:ilvl w:val="0"/>
                <w:numId w:val="30"/>
              </w:numPr>
              <w:autoSpaceDE w:val="0"/>
              <w:autoSpaceDN w:val="0"/>
              <w:spacing w:after="0" w:line="240" w:lineRule="auto"/>
              <w:ind w:left="303"/>
              <w:jc w:val="both"/>
              <w:rPr>
                <w:rFonts w:asciiTheme="majorBidi" w:eastAsia="Trebuchet MS" w:hAnsiTheme="majorBidi" w:cstheme="majorBidi"/>
                <w:bCs/>
                <w:sz w:val="18"/>
                <w:szCs w:val="18"/>
              </w:rPr>
            </w:pPr>
            <w:r w:rsidRPr="00420794">
              <w:rPr>
                <w:rFonts w:asciiTheme="majorBidi" w:eastAsia="Trebuchet MS" w:hAnsiTheme="majorBidi" w:cstheme="majorBidi"/>
                <w:bCs/>
                <w:sz w:val="18"/>
                <w:szCs w:val="18"/>
              </w:rPr>
              <w:t xml:space="preserve">La description de la plainte, </w:t>
            </w:r>
          </w:p>
          <w:p w14:paraId="314A211E" w14:textId="77777777" w:rsidR="0083496A" w:rsidRPr="00420794" w:rsidRDefault="0083496A" w:rsidP="00916C0D">
            <w:pPr>
              <w:widowControl w:val="0"/>
              <w:numPr>
                <w:ilvl w:val="0"/>
                <w:numId w:val="30"/>
              </w:numPr>
              <w:autoSpaceDE w:val="0"/>
              <w:autoSpaceDN w:val="0"/>
              <w:spacing w:after="0" w:line="240" w:lineRule="auto"/>
              <w:ind w:left="303"/>
              <w:jc w:val="both"/>
              <w:rPr>
                <w:rFonts w:asciiTheme="majorBidi" w:eastAsia="Trebuchet MS" w:hAnsiTheme="majorBidi" w:cstheme="majorBidi"/>
                <w:bCs/>
                <w:sz w:val="18"/>
                <w:szCs w:val="18"/>
              </w:rPr>
            </w:pPr>
            <w:r w:rsidRPr="00420794">
              <w:rPr>
                <w:rFonts w:asciiTheme="majorBidi" w:eastAsia="Trebuchet MS" w:hAnsiTheme="majorBidi" w:cstheme="majorBidi"/>
                <w:bCs/>
                <w:sz w:val="18"/>
                <w:szCs w:val="18"/>
              </w:rPr>
              <w:t xml:space="preserve">Le nom et prénom et le contact du /de la plaignant (e), </w:t>
            </w:r>
          </w:p>
          <w:p w14:paraId="03E54CAD" w14:textId="77777777" w:rsidR="0083496A" w:rsidRPr="00420794" w:rsidRDefault="0083496A" w:rsidP="00916C0D">
            <w:pPr>
              <w:widowControl w:val="0"/>
              <w:numPr>
                <w:ilvl w:val="0"/>
                <w:numId w:val="30"/>
              </w:numPr>
              <w:autoSpaceDE w:val="0"/>
              <w:autoSpaceDN w:val="0"/>
              <w:spacing w:after="0" w:line="240" w:lineRule="auto"/>
              <w:ind w:left="303"/>
              <w:jc w:val="both"/>
              <w:rPr>
                <w:rFonts w:asciiTheme="majorBidi" w:eastAsia="Trebuchet MS" w:hAnsiTheme="majorBidi" w:cstheme="majorBidi"/>
                <w:bCs/>
                <w:sz w:val="18"/>
                <w:szCs w:val="18"/>
              </w:rPr>
            </w:pPr>
            <w:r w:rsidRPr="00420794">
              <w:rPr>
                <w:rFonts w:asciiTheme="majorBidi" w:eastAsia="Trebuchet MS" w:hAnsiTheme="majorBidi" w:cstheme="majorBidi"/>
                <w:bCs/>
                <w:sz w:val="18"/>
                <w:szCs w:val="18"/>
              </w:rPr>
              <w:t xml:space="preserve">la date de réception de la plainte, </w:t>
            </w:r>
          </w:p>
          <w:p w14:paraId="0EBB34FC" w14:textId="77777777" w:rsidR="0083496A" w:rsidRPr="00420794" w:rsidRDefault="0083496A" w:rsidP="00916C0D">
            <w:pPr>
              <w:widowControl w:val="0"/>
              <w:numPr>
                <w:ilvl w:val="0"/>
                <w:numId w:val="30"/>
              </w:numPr>
              <w:autoSpaceDE w:val="0"/>
              <w:autoSpaceDN w:val="0"/>
              <w:spacing w:after="0" w:line="240" w:lineRule="auto"/>
              <w:ind w:left="303"/>
              <w:jc w:val="both"/>
              <w:rPr>
                <w:rFonts w:asciiTheme="majorBidi" w:eastAsia="Trebuchet MS" w:hAnsiTheme="majorBidi" w:cstheme="majorBidi"/>
                <w:bCs/>
                <w:sz w:val="18"/>
                <w:szCs w:val="18"/>
              </w:rPr>
            </w:pPr>
            <w:r w:rsidRPr="00420794">
              <w:rPr>
                <w:rFonts w:asciiTheme="majorBidi" w:eastAsia="Trebuchet MS" w:hAnsiTheme="majorBidi" w:cstheme="majorBidi"/>
                <w:bCs/>
                <w:sz w:val="18"/>
                <w:szCs w:val="18"/>
              </w:rPr>
              <w:t xml:space="preserve">la catégorie de la plainte, </w:t>
            </w:r>
          </w:p>
          <w:p w14:paraId="3EEC5A80" w14:textId="77777777" w:rsidR="0083496A" w:rsidRPr="00420794" w:rsidRDefault="0083496A" w:rsidP="00916C0D">
            <w:pPr>
              <w:widowControl w:val="0"/>
              <w:numPr>
                <w:ilvl w:val="0"/>
                <w:numId w:val="30"/>
              </w:numPr>
              <w:autoSpaceDE w:val="0"/>
              <w:autoSpaceDN w:val="0"/>
              <w:spacing w:after="0" w:line="240" w:lineRule="auto"/>
              <w:ind w:left="303"/>
              <w:jc w:val="both"/>
              <w:rPr>
                <w:rFonts w:asciiTheme="majorBidi" w:eastAsia="Trebuchet MS" w:hAnsiTheme="majorBidi" w:cstheme="majorBidi"/>
                <w:bCs/>
                <w:sz w:val="18"/>
                <w:szCs w:val="18"/>
              </w:rPr>
            </w:pPr>
            <w:r w:rsidRPr="00420794">
              <w:rPr>
                <w:rFonts w:asciiTheme="majorBidi" w:eastAsia="Trebuchet MS" w:hAnsiTheme="majorBidi" w:cstheme="majorBidi"/>
                <w:bCs/>
                <w:sz w:val="18"/>
                <w:szCs w:val="18"/>
              </w:rPr>
              <w:t>la date prévue pour la résolution et les éventuels commentaires.</w:t>
            </w:r>
          </w:p>
          <w:p w14:paraId="0C58A7C3" w14:textId="3F134BDD" w:rsidR="0083496A" w:rsidRPr="00420794" w:rsidRDefault="0083496A" w:rsidP="2639782B">
            <w:pPr>
              <w:pStyle w:val="ListParagraph"/>
              <w:spacing w:after="0" w:line="240" w:lineRule="auto"/>
              <w:ind w:left="0"/>
              <w:contextualSpacing w:val="0"/>
              <w:jc w:val="both"/>
              <w:rPr>
                <w:rFonts w:asciiTheme="majorBidi" w:eastAsia="Trebuchet MS" w:hAnsiTheme="majorBidi" w:cstheme="majorBidi"/>
                <w:sz w:val="18"/>
                <w:szCs w:val="18"/>
                <w:highlight w:val="yellow"/>
              </w:rPr>
            </w:pPr>
          </w:p>
        </w:tc>
        <w:tc>
          <w:tcPr>
            <w:tcW w:w="976" w:type="pct"/>
            <w:vAlign w:val="center"/>
          </w:tcPr>
          <w:p w14:paraId="40288D5A" w14:textId="77777777" w:rsidR="0083496A" w:rsidRPr="00420794" w:rsidRDefault="0083496A" w:rsidP="00916C0D">
            <w:pPr>
              <w:pStyle w:val="NoSpacing"/>
              <w:widowControl w:val="0"/>
              <w:tabs>
                <w:tab w:val="left" w:pos="1152"/>
              </w:tabs>
              <w:autoSpaceDE w:val="0"/>
              <w:autoSpaceDN w:val="0"/>
              <w:ind w:right="74"/>
              <w:jc w:val="both"/>
              <w:rPr>
                <w:rFonts w:asciiTheme="majorBidi" w:hAnsiTheme="majorBidi" w:cstheme="majorBidi"/>
                <w:bCs/>
                <w:i w:val="0"/>
                <w:iCs w:val="0"/>
                <w:color w:val="000000"/>
                <w:sz w:val="18"/>
                <w:szCs w:val="18"/>
                <w:lang w:val="fr-FR" w:eastAsia="fr-FR"/>
              </w:rPr>
            </w:pPr>
            <w:r w:rsidRPr="00420794">
              <w:rPr>
                <w:rFonts w:asciiTheme="majorBidi" w:eastAsia="Trebuchet MS" w:hAnsiTheme="majorBidi" w:cstheme="majorBidi"/>
                <w:bCs/>
                <w:i w:val="0"/>
                <w:iCs w:val="0"/>
                <w:sz w:val="18"/>
                <w:szCs w:val="18"/>
                <w:lang w:val="fr-FR"/>
              </w:rPr>
              <w:t>Unité de Gestion du projet (UGP-MEP) / Unité de Gestion du projet (UGP-SOMELEC)</w:t>
            </w:r>
          </w:p>
        </w:tc>
        <w:tc>
          <w:tcPr>
            <w:tcW w:w="837" w:type="pct"/>
            <w:vAlign w:val="center"/>
          </w:tcPr>
          <w:p w14:paraId="6EC3814C" w14:textId="77777777" w:rsidR="0083496A" w:rsidRPr="00420794" w:rsidRDefault="0083496A" w:rsidP="00420794">
            <w:pPr>
              <w:widowControl w:val="0"/>
              <w:tabs>
                <w:tab w:val="num" w:pos="720"/>
              </w:tabs>
              <w:autoSpaceDE w:val="0"/>
              <w:autoSpaceDN w:val="0"/>
              <w:spacing w:after="0" w:line="240" w:lineRule="auto"/>
              <w:ind w:right="455"/>
              <w:jc w:val="both"/>
              <w:rPr>
                <w:rFonts w:asciiTheme="majorBidi" w:eastAsia="Trebuchet MS" w:hAnsiTheme="majorBidi" w:cstheme="majorBidi"/>
                <w:bCs/>
                <w:sz w:val="18"/>
                <w:szCs w:val="18"/>
              </w:rPr>
            </w:pPr>
            <w:r w:rsidRPr="00420794">
              <w:rPr>
                <w:rFonts w:asciiTheme="majorBidi" w:eastAsia="Trebuchet MS" w:hAnsiTheme="majorBidi" w:cstheme="majorBidi"/>
                <w:bCs/>
                <w:sz w:val="18"/>
                <w:szCs w:val="18"/>
              </w:rPr>
              <w:t xml:space="preserve">Au cours de préparation du projet </w:t>
            </w:r>
          </w:p>
        </w:tc>
      </w:tr>
      <w:tr w:rsidR="0083496A" w:rsidRPr="009A4900" w14:paraId="00D21400" w14:textId="77777777" w:rsidTr="2639782B">
        <w:tc>
          <w:tcPr>
            <w:tcW w:w="350" w:type="pct"/>
            <w:vAlign w:val="center"/>
          </w:tcPr>
          <w:p w14:paraId="1A4CCD38" w14:textId="77777777" w:rsidR="0083496A" w:rsidRPr="00420794" w:rsidRDefault="0083496A" w:rsidP="00420794">
            <w:pPr>
              <w:widowControl w:val="0"/>
              <w:autoSpaceDE w:val="0"/>
              <w:autoSpaceDN w:val="0"/>
              <w:spacing w:after="0" w:line="240" w:lineRule="auto"/>
              <w:ind w:right="455"/>
              <w:jc w:val="both"/>
              <w:rPr>
                <w:rFonts w:asciiTheme="majorBidi" w:hAnsiTheme="majorBidi" w:cstheme="majorBidi"/>
                <w:sz w:val="18"/>
                <w:szCs w:val="18"/>
              </w:rPr>
            </w:pPr>
            <w:r w:rsidRPr="00420794">
              <w:rPr>
                <w:rFonts w:asciiTheme="majorBidi" w:eastAsia="Trebuchet MS" w:hAnsiTheme="majorBidi" w:cstheme="majorBidi"/>
                <w:bCs/>
                <w:sz w:val="18"/>
                <w:szCs w:val="18"/>
              </w:rPr>
              <w:t>2</w:t>
            </w:r>
          </w:p>
        </w:tc>
        <w:tc>
          <w:tcPr>
            <w:tcW w:w="835" w:type="pct"/>
            <w:vAlign w:val="center"/>
          </w:tcPr>
          <w:p w14:paraId="0F698AC1" w14:textId="3DE239C2" w:rsidR="0083496A" w:rsidRPr="00420794" w:rsidRDefault="0083496A" w:rsidP="00420794">
            <w:pPr>
              <w:spacing w:line="240" w:lineRule="auto"/>
              <w:jc w:val="both"/>
              <w:rPr>
                <w:rFonts w:asciiTheme="majorBidi" w:eastAsia="Trebuchet MS" w:hAnsiTheme="majorBidi" w:cstheme="majorBidi"/>
                <w:bCs/>
                <w:sz w:val="18"/>
                <w:szCs w:val="18"/>
              </w:rPr>
            </w:pPr>
            <w:r w:rsidRPr="00420794">
              <w:rPr>
                <w:rFonts w:asciiTheme="majorBidi" w:eastAsia="Trebuchet MS" w:hAnsiTheme="majorBidi" w:cstheme="majorBidi"/>
                <w:bCs/>
                <w:sz w:val="18"/>
                <w:szCs w:val="18"/>
              </w:rPr>
              <w:t xml:space="preserve">Accusé de </w:t>
            </w:r>
            <w:r w:rsidR="00F75F55" w:rsidRPr="00420794">
              <w:rPr>
                <w:rFonts w:asciiTheme="majorBidi" w:eastAsia="Trebuchet MS" w:hAnsiTheme="majorBidi" w:cstheme="majorBidi"/>
                <w:bCs/>
                <w:sz w:val="18"/>
                <w:szCs w:val="18"/>
              </w:rPr>
              <w:t>réception</w:t>
            </w:r>
          </w:p>
        </w:tc>
        <w:tc>
          <w:tcPr>
            <w:tcW w:w="2002" w:type="pct"/>
            <w:vAlign w:val="center"/>
          </w:tcPr>
          <w:p w14:paraId="5EFCC46F" w14:textId="77777777" w:rsidR="0083496A" w:rsidRPr="00420794" w:rsidRDefault="0083496A" w:rsidP="00420794">
            <w:pPr>
              <w:spacing w:line="240" w:lineRule="auto"/>
              <w:jc w:val="both"/>
              <w:rPr>
                <w:rFonts w:asciiTheme="majorBidi" w:eastAsia="Trebuchet MS" w:hAnsiTheme="majorBidi" w:cstheme="majorBidi"/>
                <w:bCs/>
                <w:sz w:val="18"/>
                <w:szCs w:val="18"/>
              </w:rPr>
            </w:pPr>
            <w:r w:rsidRPr="00420794">
              <w:rPr>
                <w:rFonts w:asciiTheme="majorBidi" w:eastAsia="Trebuchet MS" w:hAnsiTheme="majorBidi" w:cstheme="majorBidi"/>
                <w:bCs/>
                <w:sz w:val="18"/>
                <w:szCs w:val="18"/>
              </w:rPr>
              <w:t>Accuser la réception des plaintes et donner portant les informations permettant à tout moment de connaitre l’état de traitement de leur traitement.</w:t>
            </w:r>
          </w:p>
        </w:tc>
        <w:tc>
          <w:tcPr>
            <w:tcW w:w="976" w:type="pct"/>
            <w:vAlign w:val="center"/>
          </w:tcPr>
          <w:p w14:paraId="2208CA9D" w14:textId="77777777" w:rsidR="0083496A" w:rsidRPr="00420794" w:rsidRDefault="0083496A" w:rsidP="00916C0D">
            <w:pPr>
              <w:pStyle w:val="NoSpacing"/>
              <w:widowControl w:val="0"/>
              <w:tabs>
                <w:tab w:val="left" w:pos="1152"/>
              </w:tabs>
              <w:autoSpaceDE w:val="0"/>
              <w:autoSpaceDN w:val="0"/>
              <w:ind w:right="74"/>
              <w:jc w:val="both"/>
              <w:rPr>
                <w:rFonts w:asciiTheme="majorBidi" w:hAnsiTheme="majorBidi" w:cstheme="majorBidi"/>
                <w:bCs/>
                <w:i w:val="0"/>
                <w:iCs w:val="0"/>
                <w:color w:val="000000"/>
                <w:sz w:val="18"/>
                <w:szCs w:val="18"/>
                <w:lang w:val="fr-FR" w:eastAsia="fr-FR"/>
              </w:rPr>
            </w:pPr>
            <w:r w:rsidRPr="00420794">
              <w:rPr>
                <w:rFonts w:asciiTheme="majorBidi" w:hAnsiTheme="majorBidi" w:cstheme="majorBidi"/>
                <w:bCs/>
                <w:i w:val="0"/>
                <w:sz w:val="18"/>
                <w:szCs w:val="18"/>
                <w:lang w:val="fr-FR" w:eastAsia="fr-FR"/>
              </w:rPr>
              <w:t>Unité de Gestion du projet (UGP-MEP)</w:t>
            </w:r>
            <w:r w:rsidRPr="00420794">
              <w:rPr>
                <w:rFonts w:asciiTheme="majorBidi" w:eastAsia="Trebuchet MS" w:hAnsiTheme="majorBidi" w:cstheme="majorBidi"/>
                <w:bCs/>
                <w:i w:val="0"/>
                <w:iCs w:val="0"/>
                <w:sz w:val="18"/>
                <w:szCs w:val="18"/>
                <w:lang w:val="fr-FR"/>
              </w:rPr>
              <w:t>) / Unité de Gestion du projet (UGP-SOMELEC)</w:t>
            </w:r>
          </w:p>
        </w:tc>
        <w:tc>
          <w:tcPr>
            <w:tcW w:w="837" w:type="pct"/>
            <w:vAlign w:val="center"/>
          </w:tcPr>
          <w:p w14:paraId="4651BF47" w14:textId="77777777" w:rsidR="0083496A" w:rsidRPr="00420794" w:rsidRDefault="0083496A" w:rsidP="00420794">
            <w:pPr>
              <w:widowControl w:val="0"/>
              <w:tabs>
                <w:tab w:val="num" w:pos="720"/>
              </w:tabs>
              <w:autoSpaceDE w:val="0"/>
              <w:autoSpaceDN w:val="0"/>
              <w:spacing w:after="0" w:line="240" w:lineRule="auto"/>
              <w:ind w:right="455"/>
              <w:jc w:val="both"/>
              <w:rPr>
                <w:rFonts w:asciiTheme="majorBidi" w:eastAsia="Trebuchet MS" w:hAnsiTheme="majorBidi" w:cstheme="majorBidi"/>
                <w:bCs/>
                <w:sz w:val="18"/>
                <w:szCs w:val="18"/>
              </w:rPr>
            </w:pPr>
            <w:r w:rsidRPr="00420794">
              <w:rPr>
                <w:rFonts w:asciiTheme="majorBidi" w:eastAsia="Trebuchet MS" w:hAnsiTheme="majorBidi" w:cstheme="majorBidi"/>
                <w:bCs/>
                <w:sz w:val="18"/>
                <w:szCs w:val="18"/>
              </w:rPr>
              <w:t xml:space="preserve">Au cours de préparation du projet </w:t>
            </w:r>
          </w:p>
          <w:p w14:paraId="4923E341" w14:textId="77777777" w:rsidR="0083496A" w:rsidRPr="00420794" w:rsidRDefault="0083496A" w:rsidP="00420794">
            <w:pPr>
              <w:widowControl w:val="0"/>
              <w:tabs>
                <w:tab w:val="num" w:pos="720"/>
              </w:tabs>
              <w:autoSpaceDE w:val="0"/>
              <w:autoSpaceDN w:val="0"/>
              <w:spacing w:after="0" w:line="240" w:lineRule="auto"/>
              <w:ind w:left="393" w:right="455"/>
              <w:jc w:val="both"/>
              <w:rPr>
                <w:rFonts w:asciiTheme="majorBidi" w:eastAsia="Trebuchet MS" w:hAnsiTheme="majorBidi" w:cstheme="majorBidi"/>
                <w:bCs/>
                <w:sz w:val="18"/>
                <w:szCs w:val="18"/>
              </w:rPr>
            </w:pPr>
          </w:p>
        </w:tc>
      </w:tr>
      <w:tr w:rsidR="0083496A" w:rsidRPr="009A4900" w14:paraId="63BD8912" w14:textId="77777777" w:rsidTr="2639782B">
        <w:tc>
          <w:tcPr>
            <w:tcW w:w="350" w:type="pct"/>
            <w:vAlign w:val="center"/>
          </w:tcPr>
          <w:p w14:paraId="1656003F" w14:textId="77777777" w:rsidR="0083496A" w:rsidRPr="00420794" w:rsidRDefault="0083496A" w:rsidP="00420794">
            <w:pPr>
              <w:widowControl w:val="0"/>
              <w:autoSpaceDE w:val="0"/>
              <w:autoSpaceDN w:val="0"/>
              <w:spacing w:after="0" w:line="240" w:lineRule="auto"/>
              <w:ind w:right="455"/>
              <w:jc w:val="both"/>
              <w:rPr>
                <w:rFonts w:asciiTheme="majorBidi" w:eastAsia="Trebuchet MS" w:hAnsiTheme="majorBidi" w:cstheme="majorBidi"/>
                <w:b/>
                <w:bCs/>
                <w:sz w:val="18"/>
                <w:szCs w:val="18"/>
              </w:rPr>
            </w:pPr>
            <w:r w:rsidRPr="00420794">
              <w:rPr>
                <w:rFonts w:asciiTheme="majorBidi" w:eastAsia="Trebuchet MS" w:hAnsiTheme="majorBidi" w:cstheme="majorBidi"/>
                <w:bCs/>
                <w:sz w:val="18"/>
                <w:szCs w:val="18"/>
              </w:rPr>
              <w:t>3</w:t>
            </w:r>
          </w:p>
        </w:tc>
        <w:tc>
          <w:tcPr>
            <w:tcW w:w="835" w:type="pct"/>
            <w:vAlign w:val="center"/>
          </w:tcPr>
          <w:p w14:paraId="7C5425DC" w14:textId="77777777" w:rsidR="0083496A" w:rsidRPr="00420794" w:rsidRDefault="0083496A" w:rsidP="00420794">
            <w:pPr>
              <w:spacing w:line="240" w:lineRule="auto"/>
              <w:jc w:val="both"/>
              <w:rPr>
                <w:rFonts w:asciiTheme="majorBidi" w:eastAsia="Trebuchet MS" w:hAnsiTheme="majorBidi" w:cstheme="majorBidi"/>
                <w:bCs/>
                <w:sz w:val="18"/>
                <w:szCs w:val="18"/>
              </w:rPr>
            </w:pPr>
            <w:r w:rsidRPr="00420794">
              <w:rPr>
                <w:rFonts w:asciiTheme="majorBidi" w:eastAsia="Trebuchet MS" w:hAnsiTheme="majorBidi" w:cstheme="majorBidi"/>
                <w:bCs/>
                <w:sz w:val="18"/>
                <w:szCs w:val="18"/>
              </w:rPr>
              <w:t xml:space="preserve">Vérification et analyse </w:t>
            </w:r>
          </w:p>
        </w:tc>
        <w:tc>
          <w:tcPr>
            <w:tcW w:w="2002" w:type="pct"/>
            <w:vAlign w:val="center"/>
          </w:tcPr>
          <w:p w14:paraId="433D5E5F" w14:textId="77777777" w:rsidR="0083496A" w:rsidRPr="00420794" w:rsidRDefault="0083496A" w:rsidP="00420794">
            <w:pPr>
              <w:spacing w:line="240" w:lineRule="auto"/>
              <w:jc w:val="both"/>
              <w:rPr>
                <w:rFonts w:asciiTheme="majorBidi" w:eastAsia="Trebuchet MS" w:hAnsiTheme="majorBidi" w:cstheme="majorBidi"/>
                <w:bCs/>
                <w:sz w:val="18"/>
                <w:szCs w:val="18"/>
              </w:rPr>
            </w:pPr>
            <w:r w:rsidRPr="00420794">
              <w:rPr>
                <w:rFonts w:asciiTheme="majorBidi" w:eastAsia="Trebuchet MS" w:hAnsiTheme="majorBidi" w:cstheme="majorBidi"/>
                <w:bCs/>
                <w:sz w:val="18"/>
                <w:szCs w:val="18"/>
              </w:rPr>
              <w:t xml:space="preserve">Catégoriser et affecter la plainte à un responsable technique chargé de son traitement sous la responsabilité la Commission de gestion et suivi des plaintes mise en place. </w:t>
            </w:r>
          </w:p>
        </w:tc>
        <w:tc>
          <w:tcPr>
            <w:tcW w:w="976" w:type="pct"/>
            <w:vAlign w:val="center"/>
          </w:tcPr>
          <w:p w14:paraId="245A44E5" w14:textId="77777777" w:rsidR="0083496A" w:rsidRPr="00420794" w:rsidRDefault="0083496A" w:rsidP="00916C0D">
            <w:pPr>
              <w:pStyle w:val="NoSpacing"/>
              <w:widowControl w:val="0"/>
              <w:tabs>
                <w:tab w:val="left" w:pos="1152"/>
              </w:tabs>
              <w:autoSpaceDE w:val="0"/>
              <w:autoSpaceDN w:val="0"/>
              <w:ind w:right="74"/>
              <w:jc w:val="both"/>
              <w:rPr>
                <w:rFonts w:asciiTheme="majorBidi" w:hAnsiTheme="majorBidi" w:cstheme="majorBidi"/>
                <w:bCs/>
                <w:i w:val="0"/>
                <w:iCs w:val="0"/>
                <w:color w:val="000000"/>
                <w:sz w:val="18"/>
                <w:szCs w:val="18"/>
                <w:lang w:val="fr-FR" w:eastAsia="fr-FR"/>
              </w:rPr>
            </w:pPr>
            <w:r w:rsidRPr="00420794">
              <w:rPr>
                <w:rFonts w:asciiTheme="majorBidi" w:hAnsiTheme="majorBidi" w:cstheme="majorBidi"/>
                <w:bCs/>
                <w:i w:val="0"/>
                <w:sz w:val="18"/>
                <w:szCs w:val="18"/>
                <w:lang w:val="fr-FR" w:eastAsia="fr-FR"/>
              </w:rPr>
              <w:t>Unité de Gestion du projet (UGP MEP)</w:t>
            </w:r>
            <w:r w:rsidRPr="00420794">
              <w:rPr>
                <w:rFonts w:asciiTheme="majorBidi" w:eastAsia="Trebuchet MS" w:hAnsiTheme="majorBidi" w:cstheme="majorBidi"/>
                <w:bCs/>
                <w:i w:val="0"/>
                <w:iCs w:val="0"/>
                <w:sz w:val="18"/>
                <w:szCs w:val="18"/>
                <w:lang w:val="fr-FR"/>
              </w:rPr>
              <w:t>) / Unité de Gestion du projet (UGP-SOMELEC)</w:t>
            </w:r>
          </w:p>
        </w:tc>
        <w:tc>
          <w:tcPr>
            <w:tcW w:w="837" w:type="pct"/>
            <w:vAlign w:val="center"/>
          </w:tcPr>
          <w:p w14:paraId="3611CBA0" w14:textId="77777777" w:rsidR="0083496A" w:rsidRPr="00420794" w:rsidRDefault="0083496A" w:rsidP="00420794">
            <w:pPr>
              <w:widowControl w:val="0"/>
              <w:tabs>
                <w:tab w:val="num" w:pos="720"/>
              </w:tabs>
              <w:autoSpaceDE w:val="0"/>
              <w:autoSpaceDN w:val="0"/>
              <w:spacing w:after="0" w:line="240" w:lineRule="auto"/>
              <w:ind w:right="455"/>
              <w:jc w:val="both"/>
              <w:rPr>
                <w:rFonts w:asciiTheme="majorBidi" w:eastAsia="Trebuchet MS" w:hAnsiTheme="majorBidi" w:cstheme="majorBidi"/>
                <w:bCs/>
                <w:sz w:val="18"/>
                <w:szCs w:val="18"/>
              </w:rPr>
            </w:pPr>
            <w:r w:rsidRPr="00420794">
              <w:rPr>
                <w:rFonts w:asciiTheme="majorBidi" w:eastAsia="Trebuchet MS" w:hAnsiTheme="majorBidi" w:cstheme="majorBidi"/>
                <w:bCs/>
                <w:sz w:val="18"/>
                <w:szCs w:val="18"/>
              </w:rPr>
              <w:t xml:space="preserve">Au cours de préparation du projet </w:t>
            </w:r>
          </w:p>
        </w:tc>
      </w:tr>
      <w:tr w:rsidR="0083496A" w:rsidRPr="009A4900" w14:paraId="2BAB4E42" w14:textId="77777777" w:rsidTr="2639782B">
        <w:tc>
          <w:tcPr>
            <w:tcW w:w="350" w:type="pct"/>
            <w:vAlign w:val="center"/>
          </w:tcPr>
          <w:p w14:paraId="79407078" w14:textId="77777777" w:rsidR="0083496A" w:rsidRPr="00420794" w:rsidRDefault="0083496A" w:rsidP="00420794">
            <w:pPr>
              <w:widowControl w:val="0"/>
              <w:autoSpaceDE w:val="0"/>
              <w:autoSpaceDN w:val="0"/>
              <w:spacing w:after="0" w:line="240" w:lineRule="auto"/>
              <w:ind w:right="455"/>
              <w:jc w:val="both"/>
              <w:rPr>
                <w:rFonts w:asciiTheme="majorBidi" w:eastAsia="Trebuchet MS" w:hAnsiTheme="majorBidi" w:cstheme="majorBidi"/>
                <w:bCs/>
                <w:sz w:val="18"/>
                <w:szCs w:val="18"/>
              </w:rPr>
            </w:pPr>
            <w:r w:rsidRPr="00420794">
              <w:rPr>
                <w:rFonts w:asciiTheme="majorBidi" w:eastAsia="Trebuchet MS" w:hAnsiTheme="majorBidi" w:cstheme="majorBidi"/>
                <w:bCs/>
                <w:sz w:val="18"/>
                <w:szCs w:val="18"/>
              </w:rPr>
              <w:t>4</w:t>
            </w:r>
          </w:p>
        </w:tc>
        <w:tc>
          <w:tcPr>
            <w:tcW w:w="835" w:type="pct"/>
            <w:vAlign w:val="center"/>
          </w:tcPr>
          <w:p w14:paraId="3827B23E" w14:textId="77777777" w:rsidR="0083496A" w:rsidRPr="00420794" w:rsidRDefault="0083496A" w:rsidP="00420794">
            <w:pPr>
              <w:spacing w:line="240" w:lineRule="auto"/>
              <w:jc w:val="both"/>
              <w:rPr>
                <w:rFonts w:asciiTheme="majorBidi" w:eastAsia="Trebuchet MS" w:hAnsiTheme="majorBidi" w:cstheme="majorBidi"/>
                <w:bCs/>
                <w:sz w:val="18"/>
                <w:szCs w:val="18"/>
              </w:rPr>
            </w:pPr>
            <w:r w:rsidRPr="00420794">
              <w:rPr>
                <w:rFonts w:asciiTheme="majorBidi" w:eastAsia="Trebuchet MS" w:hAnsiTheme="majorBidi" w:cstheme="majorBidi"/>
                <w:bCs/>
                <w:sz w:val="18"/>
                <w:szCs w:val="18"/>
              </w:rPr>
              <w:t>Traitement</w:t>
            </w:r>
          </w:p>
        </w:tc>
        <w:tc>
          <w:tcPr>
            <w:tcW w:w="2002" w:type="pct"/>
            <w:vAlign w:val="center"/>
          </w:tcPr>
          <w:p w14:paraId="65EDB7BB" w14:textId="77777777" w:rsidR="0083496A" w:rsidRPr="00420794" w:rsidRDefault="0083496A" w:rsidP="00420794">
            <w:pPr>
              <w:spacing w:line="240" w:lineRule="auto"/>
              <w:jc w:val="both"/>
              <w:rPr>
                <w:rFonts w:asciiTheme="majorBidi" w:eastAsia="Trebuchet MS" w:hAnsiTheme="majorBidi" w:cstheme="majorBidi"/>
                <w:bCs/>
                <w:sz w:val="18"/>
                <w:szCs w:val="18"/>
              </w:rPr>
            </w:pPr>
            <w:r w:rsidRPr="00420794">
              <w:rPr>
                <w:rFonts w:asciiTheme="majorBidi" w:eastAsia="Trebuchet MS" w:hAnsiTheme="majorBidi" w:cstheme="majorBidi"/>
                <w:bCs/>
                <w:sz w:val="18"/>
                <w:szCs w:val="18"/>
              </w:rPr>
              <w:t>Recueillir l'information nécessaire pour la résolution de la plainte et proposer des mesures et des actions correctives issues des résultats des recherche pour résoudre efficacement les plaintes.</w:t>
            </w:r>
          </w:p>
        </w:tc>
        <w:tc>
          <w:tcPr>
            <w:tcW w:w="976" w:type="pct"/>
            <w:vAlign w:val="center"/>
          </w:tcPr>
          <w:p w14:paraId="6BAE7E83" w14:textId="77777777" w:rsidR="0083496A" w:rsidRPr="00420794" w:rsidRDefault="0083496A" w:rsidP="00916C0D">
            <w:pPr>
              <w:pStyle w:val="NoSpacing"/>
              <w:widowControl w:val="0"/>
              <w:tabs>
                <w:tab w:val="left" w:pos="1152"/>
              </w:tabs>
              <w:autoSpaceDE w:val="0"/>
              <w:autoSpaceDN w:val="0"/>
              <w:ind w:right="74"/>
              <w:jc w:val="both"/>
              <w:rPr>
                <w:rFonts w:asciiTheme="majorBidi" w:hAnsiTheme="majorBidi" w:cstheme="majorBidi"/>
                <w:bCs/>
                <w:i w:val="0"/>
                <w:iCs w:val="0"/>
                <w:color w:val="000000"/>
                <w:sz w:val="18"/>
                <w:szCs w:val="18"/>
                <w:lang w:val="fr-FR" w:eastAsia="fr-FR"/>
              </w:rPr>
            </w:pPr>
            <w:r w:rsidRPr="00420794">
              <w:rPr>
                <w:rFonts w:asciiTheme="majorBidi" w:hAnsiTheme="majorBidi" w:cstheme="majorBidi"/>
                <w:bCs/>
                <w:i w:val="0"/>
                <w:sz w:val="18"/>
                <w:szCs w:val="18"/>
                <w:lang w:val="fr-FR" w:eastAsia="fr-FR"/>
              </w:rPr>
              <w:t>Unité de Gestion du projet (UGP-MPME)</w:t>
            </w:r>
            <w:r w:rsidRPr="00420794">
              <w:rPr>
                <w:rFonts w:asciiTheme="majorBidi" w:eastAsia="Trebuchet MS" w:hAnsiTheme="majorBidi" w:cstheme="majorBidi"/>
                <w:bCs/>
                <w:i w:val="0"/>
                <w:iCs w:val="0"/>
                <w:sz w:val="18"/>
                <w:szCs w:val="18"/>
                <w:lang w:val="fr-FR"/>
              </w:rPr>
              <w:t xml:space="preserve"> / Unité de Gestion du projet (UGP-SOMELEC)</w:t>
            </w:r>
          </w:p>
        </w:tc>
        <w:tc>
          <w:tcPr>
            <w:tcW w:w="837" w:type="pct"/>
            <w:vAlign w:val="center"/>
          </w:tcPr>
          <w:p w14:paraId="203851EA" w14:textId="77777777" w:rsidR="0083496A" w:rsidRPr="00420794" w:rsidRDefault="0083496A" w:rsidP="00420794">
            <w:pPr>
              <w:widowControl w:val="0"/>
              <w:tabs>
                <w:tab w:val="num" w:pos="720"/>
              </w:tabs>
              <w:autoSpaceDE w:val="0"/>
              <w:autoSpaceDN w:val="0"/>
              <w:spacing w:after="0" w:line="240" w:lineRule="auto"/>
              <w:ind w:right="455"/>
              <w:jc w:val="both"/>
              <w:rPr>
                <w:rFonts w:asciiTheme="majorBidi" w:eastAsia="Trebuchet MS" w:hAnsiTheme="majorBidi" w:cstheme="majorBidi"/>
                <w:bCs/>
                <w:sz w:val="18"/>
                <w:szCs w:val="18"/>
              </w:rPr>
            </w:pPr>
            <w:r w:rsidRPr="00420794">
              <w:rPr>
                <w:rFonts w:asciiTheme="majorBidi" w:eastAsia="Trebuchet MS" w:hAnsiTheme="majorBidi" w:cstheme="majorBidi"/>
                <w:bCs/>
                <w:sz w:val="18"/>
                <w:szCs w:val="18"/>
              </w:rPr>
              <w:t xml:space="preserve">Au cours de préparation du projet </w:t>
            </w:r>
          </w:p>
        </w:tc>
      </w:tr>
      <w:tr w:rsidR="0083496A" w:rsidRPr="009A4900" w14:paraId="1D3685FB" w14:textId="77777777" w:rsidTr="2639782B">
        <w:tc>
          <w:tcPr>
            <w:tcW w:w="350" w:type="pct"/>
            <w:vAlign w:val="center"/>
          </w:tcPr>
          <w:p w14:paraId="65E6020E" w14:textId="77777777" w:rsidR="0083496A" w:rsidRPr="00420794" w:rsidRDefault="0083496A" w:rsidP="00420794">
            <w:pPr>
              <w:widowControl w:val="0"/>
              <w:autoSpaceDE w:val="0"/>
              <w:autoSpaceDN w:val="0"/>
              <w:spacing w:after="0" w:line="240" w:lineRule="auto"/>
              <w:ind w:right="455"/>
              <w:jc w:val="both"/>
              <w:rPr>
                <w:rFonts w:asciiTheme="majorBidi" w:eastAsia="Trebuchet MS" w:hAnsiTheme="majorBidi" w:cstheme="majorBidi"/>
                <w:bCs/>
                <w:sz w:val="18"/>
                <w:szCs w:val="18"/>
              </w:rPr>
            </w:pPr>
            <w:r w:rsidRPr="00420794">
              <w:rPr>
                <w:rFonts w:asciiTheme="majorBidi" w:eastAsia="Trebuchet MS" w:hAnsiTheme="majorBidi" w:cstheme="majorBidi"/>
                <w:bCs/>
                <w:sz w:val="18"/>
                <w:szCs w:val="18"/>
              </w:rPr>
              <w:t>5</w:t>
            </w:r>
          </w:p>
        </w:tc>
        <w:tc>
          <w:tcPr>
            <w:tcW w:w="835" w:type="pct"/>
            <w:vAlign w:val="center"/>
          </w:tcPr>
          <w:p w14:paraId="43E9C93F" w14:textId="77777777" w:rsidR="0083496A" w:rsidRPr="00420794" w:rsidRDefault="0083496A" w:rsidP="00420794">
            <w:pPr>
              <w:widowControl w:val="0"/>
              <w:autoSpaceDE w:val="0"/>
              <w:autoSpaceDN w:val="0"/>
              <w:spacing w:after="0" w:line="240" w:lineRule="auto"/>
              <w:ind w:right="455"/>
              <w:jc w:val="both"/>
              <w:rPr>
                <w:rFonts w:asciiTheme="majorBidi" w:eastAsia="Trebuchet MS" w:hAnsiTheme="majorBidi" w:cstheme="majorBidi"/>
                <w:bCs/>
                <w:sz w:val="18"/>
                <w:szCs w:val="18"/>
              </w:rPr>
            </w:pPr>
            <w:r w:rsidRPr="00420794">
              <w:rPr>
                <w:rFonts w:asciiTheme="majorBidi" w:eastAsia="Trebuchet MS" w:hAnsiTheme="majorBidi" w:cstheme="majorBidi"/>
                <w:bCs/>
                <w:sz w:val="18"/>
                <w:szCs w:val="18"/>
              </w:rPr>
              <w:t>Retour d’information</w:t>
            </w:r>
          </w:p>
        </w:tc>
        <w:tc>
          <w:tcPr>
            <w:tcW w:w="2002" w:type="pct"/>
            <w:vAlign w:val="center"/>
          </w:tcPr>
          <w:p w14:paraId="7ADA60E2" w14:textId="77777777" w:rsidR="0083496A" w:rsidRPr="00420794" w:rsidRDefault="0083496A" w:rsidP="00420794">
            <w:pPr>
              <w:widowControl w:val="0"/>
              <w:autoSpaceDE w:val="0"/>
              <w:autoSpaceDN w:val="0"/>
              <w:spacing w:after="0" w:line="240" w:lineRule="auto"/>
              <w:ind w:right="455"/>
              <w:jc w:val="both"/>
              <w:rPr>
                <w:rFonts w:asciiTheme="majorBidi" w:eastAsia="Trebuchet MS" w:hAnsiTheme="majorBidi" w:cstheme="majorBidi"/>
                <w:bCs/>
                <w:sz w:val="18"/>
                <w:szCs w:val="18"/>
              </w:rPr>
            </w:pPr>
            <w:r w:rsidRPr="00420794">
              <w:rPr>
                <w:rFonts w:asciiTheme="majorBidi" w:eastAsia="Trebuchet MS" w:hAnsiTheme="majorBidi" w:cstheme="majorBidi"/>
                <w:bCs/>
                <w:sz w:val="18"/>
                <w:szCs w:val="18"/>
              </w:rPr>
              <w:t>Informer les plaignants des résultats et des mesures prises pour résoudre la plaine.</w:t>
            </w:r>
          </w:p>
          <w:p w14:paraId="26C3A6A1" w14:textId="77777777" w:rsidR="0083496A" w:rsidRPr="00420794" w:rsidRDefault="0083496A" w:rsidP="00420794">
            <w:pPr>
              <w:widowControl w:val="0"/>
              <w:autoSpaceDE w:val="0"/>
              <w:autoSpaceDN w:val="0"/>
              <w:spacing w:after="0" w:line="240" w:lineRule="auto"/>
              <w:ind w:right="455"/>
              <w:jc w:val="both"/>
              <w:rPr>
                <w:rFonts w:asciiTheme="majorBidi" w:eastAsia="Trebuchet MS" w:hAnsiTheme="majorBidi" w:cstheme="majorBidi"/>
                <w:bCs/>
                <w:sz w:val="18"/>
                <w:szCs w:val="18"/>
              </w:rPr>
            </w:pPr>
          </w:p>
          <w:p w14:paraId="3ADC30F3" w14:textId="77777777" w:rsidR="0083496A" w:rsidRPr="00420794" w:rsidRDefault="0083496A" w:rsidP="00420794">
            <w:pPr>
              <w:widowControl w:val="0"/>
              <w:autoSpaceDE w:val="0"/>
              <w:autoSpaceDN w:val="0"/>
              <w:spacing w:after="0" w:line="240" w:lineRule="auto"/>
              <w:ind w:right="455"/>
              <w:jc w:val="both"/>
              <w:rPr>
                <w:rFonts w:asciiTheme="majorBidi" w:eastAsia="Trebuchet MS" w:hAnsiTheme="majorBidi" w:cstheme="majorBidi"/>
                <w:bCs/>
                <w:sz w:val="18"/>
                <w:szCs w:val="18"/>
              </w:rPr>
            </w:pPr>
            <w:r w:rsidRPr="00420794">
              <w:rPr>
                <w:rFonts w:asciiTheme="majorBidi" w:eastAsia="Trebuchet MS" w:hAnsiTheme="majorBidi" w:cstheme="majorBidi"/>
                <w:bCs/>
                <w:sz w:val="18"/>
                <w:szCs w:val="18"/>
              </w:rPr>
              <w:t>NOTA : les réponses aux plaignant sont faites avec des informations directes du plaignant par téléphone, par réponse écrite, par courriel ou bien à travers les réseaux sociaux appropriés.</w:t>
            </w:r>
          </w:p>
        </w:tc>
        <w:tc>
          <w:tcPr>
            <w:tcW w:w="976" w:type="pct"/>
            <w:vAlign w:val="center"/>
          </w:tcPr>
          <w:p w14:paraId="2C4EB88A" w14:textId="77777777" w:rsidR="0083496A" w:rsidRPr="00420794" w:rsidRDefault="0083496A" w:rsidP="00420794">
            <w:pPr>
              <w:widowControl w:val="0"/>
              <w:autoSpaceDE w:val="0"/>
              <w:autoSpaceDN w:val="0"/>
              <w:spacing w:after="0" w:line="240" w:lineRule="auto"/>
              <w:ind w:right="455"/>
              <w:jc w:val="both"/>
              <w:rPr>
                <w:rFonts w:asciiTheme="majorBidi" w:eastAsia="Trebuchet MS" w:hAnsiTheme="majorBidi" w:cstheme="majorBidi"/>
                <w:bCs/>
                <w:sz w:val="18"/>
                <w:szCs w:val="18"/>
              </w:rPr>
            </w:pPr>
            <w:r w:rsidRPr="00420794">
              <w:rPr>
                <w:rFonts w:asciiTheme="majorBidi" w:eastAsia="Trebuchet MS" w:hAnsiTheme="majorBidi" w:cstheme="majorBidi"/>
                <w:bCs/>
                <w:sz w:val="18"/>
                <w:szCs w:val="18"/>
              </w:rPr>
              <w:t xml:space="preserve">UGPs et plaignants </w:t>
            </w:r>
          </w:p>
        </w:tc>
        <w:tc>
          <w:tcPr>
            <w:tcW w:w="837" w:type="pct"/>
            <w:vAlign w:val="center"/>
          </w:tcPr>
          <w:p w14:paraId="630A4CF0" w14:textId="77777777" w:rsidR="0083496A" w:rsidRPr="00420794" w:rsidRDefault="0083496A" w:rsidP="00870715">
            <w:pPr>
              <w:widowControl w:val="0"/>
              <w:tabs>
                <w:tab w:val="num" w:pos="720"/>
              </w:tabs>
              <w:autoSpaceDE w:val="0"/>
              <w:autoSpaceDN w:val="0"/>
              <w:spacing w:after="0" w:line="240" w:lineRule="auto"/>
              <w:ind w:right="455"/>
              <w:jc w:val="both"/>
              <w:rPr>
                <w:rFonts w:asciiTheme="majorBidi" w:eastAsia="Trebuchet MS" w:hAnsiTheme="majorBidi" w:cstheme="majorBidi"/>
                <w:bCs/>
                <w:sz w:val="18"/>
                <w:szCs w:val="18"/>
              </w:rPr>
            </w:pPr>
            <w:r w:rsidRPr="00420794">
              <w:rPr>
                <w:rFonts w:asciiTheme="majorBidi" w:eastAsia="Trebuchet MS" w:hAnsiTheme="majorBidi" w:cstheme="majorBidi"/>
                <w:bCs/>
                <w:sz w:val="18"/>
                <w:szCs w:val="18"/>
              </w:rPr>
              <w:t xml:space="preserve">Au cours de la préparation du projet </w:t>
            </w:r>
          </w:p>
        </w:tc>
      </w:tr>
      <w:tr w:rsidR="0083496A" w:rsidRPr="009A4900" w14:paraId="50F03786" w14:textId="77777777" w:rsidTr="2639782B">
        <w:tc>
          <w:tcPr>
            <w:tcW w:w="350" w:type="pct"/>
            <w:vAlign w:val="center"/>
          </w:tcPr>
          <w:p w14:paraId="4FBEAC26" w14:textId="77777777" w:rsidR="0083496A" w:rsidRPr="00420794" w:rsidRDefault="0083496A" w:rsidP="00420794">
            <w:pPr>
              <w:widowControl w:val="0"/>
              <w:autoSpaceDE w:val="0"/>
              <w:autoSpaceDN w:val="0"/>
              <w:spacing w:after="0" w:line="240" w:lineRule="auto"/>
              <w:ind w:right="455"/>
              <w:jc w:val="both"/>
              <w:rPr>
                <w:rFonts w:asciiTheme="majorBidi" w:eastAsia="Trebuchet MS" w:hAnsiTheme="majorBidi" w:cstheme="majorBidi"/>
                <w:bCs/>
                <w:sz w:val="18"/>
                <w:szCs w:val="18"/>
              </w:rPr>
            </w:pPr>
            <w:r w:rsidRPr="00420794">
              <w:rPr>
                <w:rFonts w:asciiTheme="majorBidi" w:eastAsia="Trebuchet MS" w:hAnsiTheme="majorBidi" w:cstheme="majorBidi"/>
                <w:bCs/>
                <w:sz w:val="18"/>
                <w:szCs w:val="18"/>
              </w:rPr>
              <w:t>6</w:t>
            </w:r>
          </w:p>
        </w:tc>
        <w:tc>
          <w:tcPr>
            <w:tcW w:w="835" w:type="pct"/>
            <w:vAlign w:val="center"/>
          </w:tcPr>
          <w:p w14:paraId="60DF0FF6" w14:textId="77777777" w:rsidR="0083496A" w:rsidRPr="00420794" w:rsidRDefault="0083496A" w:rsidP="00420794">
            <w:pPr>
              <w:widowControl w:val="0"/>
              <w:autoSpaceDE w:val="0"/>
              <w:autoSpaceDN w:val="0"/>
              <w:spacing w:after="0" w:line="240" w:lineRule="auto"/>
              <w:ind w:right="455"/>
              <w:jc w:val="both"/>
              <w:rPr>
                <w:rFonts w:asciiTheme="majorBidi" w:eastAsia="Trebuchet MS" w:hAnsiTheme="majorBidi" w:cstheme="majorBidi"/>
                <w:bCs/>
                <w:sz w:val="18"/>
                <w:szCs w:val="18"/>
              </w:rPr>
            </w:pPr>
            <w:r w:rsidRPr="00420794">
              <w:rPr>
                <w:rFonts w:asciiTheme="majorBidi" w:eastAsia="Trebuchet MS" w:hAnsiTheme="majorBidi" w:cstheme="majorBidi"/>
                <w:bCs/>
                <w:sz w:val="18"/>
                <w:szCs w:val="18"/>
              </w:rPr>
              <w:t>Clôture et archivage</w:t>
            </w:r>
          </w:p>
        </w:tc>
        <w:tc>
          <w:tcPr>
            <w:tcW w:w="2002" w:type="pct"/>
            <w:vAlign w:val="center"/>
          </w:tcPr>
          <w:p w14:paraId="68742842" w14:textId="77777777" w:rsidR="0083496A" w:rsidRPr="00420794" w:rsidRDefault="0083496A" w:rsidP="00420794">
            <w:pPr>
              <w:widowControl w:val="0"/>
              <w:autoSpaceDE w:val="0"/>
              <w:autoSpaceDN w:val="0"/>
              <w:spacing w:after="0" w:line="240" w:lineRule="auto"/>
              <w:ind w:right="455"/>
              <w:jc w:val="both"/>
              <w:rPr>
                <w:rFonts w:asciiTheme="majorBidi" w:eastAsia="Trebuchet MS" w:hAnsiTheme="majorBidi" w:cstheme="majorBidi"/>
                <w:bCs/>
                <w:sz w:val="18"/>
                <w:szCs w:val="18"/>
              </w:rPr>
            </w:pPr>
            <w:r w:rsidRPr="00420794">
              <w:rPr>
                <w:rFonts w:asciiTheme="majorBidi" w:eastAsia="Trebuchet MS" w:hAnsiTheme="majorBidi" w:cstheme="majorBidi"/>
                <w:bCs/>
                <w:sz w:val="18"/>
                <w:szCs w:val="18"/>
              </w:rPr>
              <w:t xml:space="preserve">La plainte sera clôturée lorsque les mesures correctives, le cas échéant, auront été mises en place et le plaignant informé. </w:t>
            </w:r>
          </w:p>
          <w:p w14:paraId="4B39484A" w14:textId="77777777" w:rsidR="0083496A" w:rsidRPr="00420794" w:rsidRDefault="0083496A" w:rsidP="00420794">
            <w:pPr>
              <w:widowControl w:val="0"/>
              <w:autoSpaceDE w:val="0"/>
              <w:autoSpaceDN w:val="0"/>
              <w:spacing w:after="0" w:line="240" w:lineRule="auto"/>
              <w:ind w:right="455"/>
              <w:jc w:val="both"/>
              <w:rPr>
                <w:rFonts w:asciiTheme="majorBidi" w:eastAsia="Trebuchet MS" w:hAnsiTheme="majorBidi" w:cstheme="majorBidi"/>
                <w:bCs/>
                <w:sz w:val="18"/>
                <w:szCs w:val="18"/>
              </w:rPr>
            </w:pPr>
            <w:r w:rsidRPr="00420794">
              <w:rPr>
                <w:rFonts w:asciiTheme="majorBidi" w:eastAsia="Trebuchet MS" w:hAnsiTheme="majorBidi" w:cstheme="majorBidi"/>
                <w:bCs/>
                <w:sz w:val="18"/>
                <w:szCs w:val="18"/>
              </w:rPr>
              <w:t>Le projet mettra en place un système d’archivage des plaintes reçues.</w:t>
            </w:r>
          </w:p>
        </w:tc>
        <w:tc>
          <w:tcPr>
            <w:tcW w:w="976" w:type="pct"/>
            <w:vAlign w:val="center"/>
          </w:tcPr>
          <w:p w14:paraId="6F971054" w14:textId="77777777" w:rsidR="0083496A" w:rsidRPr="00420794" w:rsidRDefault="0083496A" w:rsidP="00420794">
            <w:pPr>
              <w:pStyle w:val="NoSpacing"/>
              <w:widowControl w:val="0"/>
              <w:autoSpaceDE w:val="0"/>
              <w:autoSpaceDN w:val="0"/>
              <w:ind w:right="455"/>
              <w:jc w:val="both"/>
              <w:rPr>
                <w:rFonts w:asciiTheme="majorBidi" w:hAnsiTheme="majorBidi" w:cstheme="majorBidi"/>
                <w:bCs/>
                <w:i w:val="0"/>
                <w:iCs w:val="0"/>
                <w:color w:val="000000"/>
                <w:sz w:val="18"/>
                <w:szCs w:val="18"/>
                <w:lang w:val="fr-FR" w:eastAsia="fr-FR"/>
              </w:rPr>
            </w:pPr>
            <w:r w:rsidRPr="00420794">
              <w:rPr>
                <w:rFonts w:asciiTheme="majorBidi" w:hAnsiTheme="majorBidi" w:cstheme="majorBidi"/>
                <w:bCs/>
                <w:i w:val="0"/>
                <w:sz w:val="18"/>
                <w:szCs w:val="18"/>
                <w:lang w:val="fr-FR" w:eastAsia="fr-FR"/>
              </w:rPr>
              <w:t>Unités de Gestion du projet (UGP-MEP)</w:t>
            </w:r>
            <w:r w:rsidRPr="00420794">
              <w:rPr>
                <w:rFonts w:asciiTheme="majorBidi" w:eastAsia="Trebuchet MS" w:hAnsiTheme="majorBidi" w:cstheme="majorBidi"/>
                <w:bCs/>
                <w:i w:val="0"/>
                <w:iCs w:val="0"/>
                <w:sz w:val="18"/>
                <w:szCs w:val="18"/>
                <w:lang w:val="fr-FR"/>
              </w:rPr>
              <w:t>) / Unité de Gestion du projet (UGP-SOMELEC)</w:t>
            </w:r>
          </w:p>
        </w:tc>
        <w:tc>
          <w:tcPr>
            <w:tcW w:w="837" w:type="pct"/>
            <w:vAlign w:val="center"/>
          </w:tcPr>
          <w:p w14:paraId="115A515E" w14:textId="77777777" w:rsidR="0083496A" w:rsidRPr="00420794" w:rsidRDefault="0083496A" w:rsidP="00870715">
            <w:pPr>
              <w:widowControl w:val="0"/>
              <w:tabs>
                <w:tab w:val="num" w:pos="720"/>
              </w:tabs>
              <w:autoSpaceDE w:val="0"/>
              <w:autoSpaceDN w:val="0"/>
              <w:spacing w:after="0" w:line="240" w:lineRule="auto"/>
              <w:ind w:right="455"/>
              <w:jc w:val="both"/>
              <w:rPr>
                <w:rFonts w:asciiTheme="majorBidi" w:eastAsia="Trebuchet MS" w:hAnsiTheme="majorBidi" w:cstheme="majorBidi"/>
                <w:bCs/>
                <w:sz w:val="18"/>
                <w:szCs w:val="18"/>
              </w:rPr>
            </w:pPr>
            <w:r w:rsidRPr="00420794">
              <w:rPr>
                <w:rFonts w:asciiTheme="majorBidi" w:eastAsia="Trebuchet MS" w:hAnsiTheme="majorBidi" w:cstheme="majorBidi"/>
                <w:bCs/>
                <w:sz w:val="18"/>
                <w:szCs w:val="18"/>
              </w:rPr>
              <w:t xml:space="preserve">Au cours de la préparation du projet </w:t>
            </w:r>
          </w:p>
        </w:tc>
      </w:tr>
      <w:tr w:rsidR="0083496A" w:rsidRPr="009A4900" w14:paraId="65C35FB9" w14:textId="77777777" w:rsidTr="2639782B">
        <w:trPr>
          <w:trHeight w:val="84"/>
        </w:trPr>
        <w:tc>
          <w:tcPr>
            <w:tcW w:w="350" w:type="pct"/>
            <w:vAlign w:val="center"/>
          </w:tcPr>
          <w:p w14:paraId="2A8EE83F" w14:textId="77777777" w:rsidR="0083496A" w:rsidRPr="00420794" w:rsidRDefault="0083496A" w:rsidP="00420794">
            <w:pPr>
              <w:widowControl w:val="0"/>
              <w:autoSpaceDE w:val="0"/>
              <w:autoSpaceDN w:val="0"/>
              <w:spacing w:after="0" w:line="240" w:lineRule="auto"/>
              <w:ind w:right="455"/>
              <w:jc w:val="both"/>
              <w:rPr>
                <w:rFonts w:asciiTheme="majorBidi" w:eastAsia="Trebuchet MS" w:hAnsiTheme="majorBidi" w:cstheme="majorBidi"/>
                <w:bCs/>
                <w:sz w:val="18"/>
                <w:szCs w:val="18"/>
              </w:rPr>
            </w:pPr>
            <w:r w:rsidRPr="00420794">
              <w:rPr>
                <w:rFonts w:asciiTheme="majorBidi" w:eastAsia="Trebuchet MS" w:hAnsiTheme="majorBidi" w:cstheme="majorBidi"/>
                <w:bCs/>
                <w:sz w:val="18"/>
                <w:szCs w:val="18"/>
              </w:rPr>
              <w:t>7</w:t>
            </w:r>
          </w:p>
        </w:tc>
        <w:tc>
          <w:tcPr>
            <w:tcW w:w="835" w:type="pct"/>
            <w:vAlign w:val="center"/>
          </w:tcPr>
          <w:p w14:paraId="47708730" w14:textId="77777777" w:rsidR="0083496A" w:rsidRPr="00420794" w:rsidRDefault="0083496A" w:rsidP="00420794">
            <w:pPr>
              <w:spacing w:line="240" w:lineRule="auto"/>
              <w:jc w:val="both"/>
              <w:rPr>
                <w:rFonts w:asciiTheme="majorBidi" w:eastAsia="Trebuchet MS" w:hAnsiTheme="majorBidi" w:cstheme="majorBidi"/>
                <w:bCs/>
                <w:sz w:val="18"/>
                <w:szCs w:val="18"/>
              </w:rPr>
            </w:pPr>
            <w:r w:rsidRPr="00420794">
              <w:rPr>
                <w:rFonts w:asciiTheme="majorBidi" w:eastAsia="Trebuchet MS" w:hAnsiTheme="majorBidi" w:cstheme="majorBidi"/>
                <w:bCs/>
                <w:sz w:val="18"/>
                <w:szCs w:val="18"/>
              </w:rPr>
              <w:t>Suivi-évaluation</w:t>
            </w:r>
          </w:p>
        </w:tc>
        <w:tc>
          <w:tcPr>
            <w:tcW w:w="2002" w:type="pct"/>
            <w:vAlign w:val="center"/>
          </w:tcPr>
          <w:p w14:paraId="42FF0F29" w14:textId="77777777" w:rsidR="0083496A" w:rsidRPr="00420794" w:rsidRDefault="0083496A" w:rsidP="00420794">
            <w:pPr>
              <w:spacing w:line="240" w:lineRule="auto"/>
              <w:jc w:val="both"/>
              <w:rPr>
                <w:rFonts w:asciiTheme="majorBidi" w:eastAsia="Trebuchet MS" w:hAnsiTheme="majorBidi" w:cstheme="majorBidi"/>
                <w:bCs/>
                <w:sz w:val="18"/>
                <w:szCs w:val="18"/>
              </w:rPr>
            </w:pPr>
            <w:r w:rsidRPr="00420794">
              <w:rPr>
                <w:rFonts w:asciiTheme="majorBidi" w:eastAsia="Trebuchet MS" w:hAnsiTheme="majorBidi" w:cstheme="majorBidi"/>
                <w:bCs/>
                <w:sz w:val="18"/>
                <w:szCs w:val="18"/>
              </w:rPr>
              <w:t>Suivre et évaluer systématiquement l’efficacité du système ainsi que l’efficience des mesures ou des actions prisent pour résoudre la plainte</w:t>
            </w:r>
          </w:p>
        </w:tc>
        <w:tc>
          <w:tcPr>
            <w:tcW w:w="976" w:type="pct"/>
            <w:vAlign w:val="center"/>
          </w:tcPr>
          <w:p w14:paraId="4DF55FC0" w14:textId="77777777" w:rsidR="0083496A" w:rsidRPr="00420794" w:rsidRDefault="0083496A" w:rsidP="2639782B">
            <w:pPr>
              <w:pStyle w:val="NoSpacing"/>
              <w:widowControl w:val="0"/>
              <w:autoSpaceDE w:val="0"/>
              <w:autoSpaceDN w:val="0"/>
              <w:ind w:right="455"/>
              <w:jc w:val="both"/>
              <w:rPr>
                <w:rFonts w:asciiTheme="majorBidi" w:hAnsiTheme="majorBidi" w:cstheme="majorBidi"/>
                <w:i w:val="0"/>
                <w:iCs w:val="0"/>
                <w:color w:val="000000"/>
                <w:sz w:val="18"/>
                <w:szCs w:val="18"/>
                <w:lang w:val="fr-FR" w:eastAsia="fr-FR"/>
              </w:rPr>
            </w:pPr>
            <w:r w:rsidRPr="2639782B">
              <w:rPr>
                <w:rFonts w:asciiTheme="majorBidi" w:hAnsiTheme="majorBidi" w:cstheme="majorBidi"/>
                <w:i w:val="0"/>
                <w:iCs w:val="0"/>
                <w:sz w:val="18"/>
                <w:szCs w:val="18"/>
                <w:lang w:val="fr-FR" w:eastAsia="fr-FR"/>
              </w:rPr>
              <w:t>Unités de Gestion du projet (UGP-MEP)</w:t>
            </w:r>
            <w:r w:rsidRPr="2639782B">
              <w:rPr>
                <w:rFonts w:asciiTheme="majorBidi" w:eastAsia="Trebuchet MS" w:hAnsiTheme="majorBidi" w:cstheme="majorBidi"/>
                <w:i w:val="0"/>
                <w:iCs w:val="0"/>
                <w:sz w:val="18"/>
                <w:szCs w:val="18"/>
                <w:lang w:val="fr-FR"/>
              </w:rPr>
              <w:t xml:space="preserve"> ) / Unité de </w:t>
            </w:r>
            <w:r w:rsidRPr="2639782B">
              <w:rPr>
                <w:rFonts w:asciiTheme="majorBidi" w:eastAsia="Trebuchet MS" w:hAnsiTheme="majorBidi" w:cstheme="majorBidi"/>
                <w:i w:val="0"/>
                <w:iCs w:val="0"/>
                <w:sz w:val="18"/>
                <w:szCs w:val="18"/>
                <w:lang w:val="fr-FR"/>
              </w:rPr>
              <w:lastRenderedPageBreak/>
              <w:t>Gestion du projet (UGP-SOMELEC)</w:t>
            </w:r>
          </w:p>
        </w:tc>
        <w:tc>
          <w:tcPr>
            <w:tcW w:w="837" w:type="pct"/>
            <w:vAlign w:val="center"/>
          </w:tcPr>
          <w:p w14:paraId="59672A01" w14:textId="77777777" w:rsidR="0083496A" w:rsidRPr="00420794" w:rsidRDefault="0083496A" w:rsidP="00870715">
            <w:pPr>
              <w:widowControl w:val="0"/>
              <w:tabs>
                <w:tab w:val="num" w:pos="720"/>
              </w:tabs>
              <w:autoSpaceDE w:val="0"/>
              <w:autoSpaceDN w:val="0"/>
              <w:spacing w:after="0" w:line="240" w:lineRule="auto"/>
              <w:ind w:right="455"/>
              <w:jc w:val="both"/>
              <w:rPr>
                <w:rFonts w:asciiTheme="majorBidi" w:eastAsia="Trebuchet MS" w:hAnsiTheme="majorBidi" w:cstheme="majorBidi"/>
                <w:bCs/>
                <w:sz w:val="18"/>
                <w:szCs w:val="18"/>
              </w:rPr>
            </w:pPr>
            <w:r w:rsidRPr="00420794">
              <w:rPr>
                <w:rFonts w:asciiTheme="majorBidi" w:eastAsia="Trebuchet MS" w:hAnsiTheme="majorBidi" w:cstheme="majorBidi"/>
                <w:bCs/>
                <w:sz w:val="18"/>
                <w:szCs w:val="18"/>
              </w:rPr>
              <w:lastRenderedPageBreak/>
              <w:t xml:space="preserve">Au cours de la préparation du projet </w:t>
            </w:r>
          </w:p>
        </w:tc>
      </w:tr>
    </w:tbl>
    <w:p w14:paraId="7A9437F0" w14:textId="77777777" w:rsidR="00037DA1" w:rsidRDefault="00037DA1" w:rsidP="00037DA1">
      <w:pPr>
        <w:pStyle w:val="Title"/>
        <w:widowControl w:val="0"/>
        <w:autoSpaceDE w:val="0"/>
        <w:autoSpaceDN w:val="0"/>
        <w:spacing w:after="0" w:line="276" w:lineRule="auto"/>
        <w:ind w:left="720" w:right="455"/>
        <w:contextualSpacing w:val="0"/>
        <w:rPr>
          <w:rFonts w:asciiTheme="majorBidi" w:eastAsiaTheme="minorHAnsi" w:hAnsiTheme="majorBidi"/>
          <w:b/>
          <w:bCs/>
          <w:kern w:val="2"/>
          <w:sz w:val="28"/>
          <w:szCs w:val="28"/>
        </w:rPr>
      </w:pPr>
      <w:bookmarkStart w:id="20" w:name="_Toc241155401"/>
    </w:p>
    <w:p w14:paraId="729E2E1D" w14:textId="77777777" w:rsidR="00037DA1" w:rsidRPr="00037DA1" w:rsidRDefault="00037DA1" w:rsidP="00037DA1"/>
    <w:p w14:paraId="052EE4A1" w14:textId="677B2701" w:rsidR="0083496A" w:rsidRPr="00786FFD" w:rsidRDefault="0083496A" w:rsidP="00786FFD">
      <w:pPr>
        <w:pStyle w:val="Title"/>
        <w:widowControl w:val="0"/>
        <w:numPr>
          <w:ilvl w:val="0"/>
          <w:numId w:val="35"/>
        </w:numPr>
        <w:autoSpaceDE w:val="0"/>
        <w:autoSpaceDN w:val="0"/>
        <w:spacing w:after="0" w:line="276" w:lineRule="auto"/>
        <w:ind w:right="455"/>
        <w:contextualSpacing w:val="0"/>
        <w:rPr>
          <w:rFonts w:asciiTheme="majorBidi" w:eastAsiaTheme="minorHAnsi" w:hAnsiTheme="majorBidi"/>
          <w:b/>
          <w:bCs/>
          <w:kern w:val="2"/>
          <w:sz w:val="28"/>
          <w:szCs w:val="28"/>
        </w:rPr>
      </w:pPr>
      <w:r w:rsidRPr="00786FFD">
        <w:rPr>
          <w:rFonts w:asciiTheme="majorBidi" w:eastAsiaTheme="minorHAnsi" w:hAnsiTheme="majorBidi"/>
          <w:b/>
          <w:bCs/>
          <w:kern w:val="2"/>
          <w:sz w:val="28"/>
          <w:szCs w:val="28"/>
        </w:rPr>
        <w:t>Suivi et Évaluation</w:t>
      </w:r>
      <w:bookmarkEnd w:id="20"/>
    </w:p>
    <w:p w14:paraId="4FD98E85" w14:textId="77777777" w:rsidR="00786FFD" w:rsidRDefault="6B9DA63D" w:rsidP="00786FFD">
      <w:pPr>
        <w:spacing w:line="276" w:lineRule="auto"/>
        <w:jc w:val="both"/>
        <w:rPr>
          <w:rFonts w:asciiTheme="majorBidi" w:eastAsia="Aptos" w:hAnsiTheme="majorBidi" w:cstheme="majorBidi"/>
          <w:sz w:val="24"/>
          <w:szCs w:val="24"/>
          <w:lang w:val="fr"/>
        </w:rPr>
      </w:pPr>
      <w:r w:rsidRPr="00786FFD">
        <w:rPr>
          <w:rFonts w:asciiTheme="majorBidi" w:eastAsia="Aptos" w:hAnsiTheme="majorBidi" w:cstheme="majorBidi"/>
          <w:sz w:val="24"/>
          <w:szCs w:val="24"/>
          <w:lang w:val="fr"/>
        </w:rPr>
        <w:t xml:space="preserve"> La mise en œuvre du PMPP fera l’objet d’un suivi qualitatif et quantitatif intégré aux rapports environnementaux et sociaux. Les indicateurs comprendront au minimum : </w:t>
      </w:r>
    </w:p>
    <w:p w14:paraId="1A4C9569" w14:textId="77777777" w:rsidR="00786FFD" w:rsidRDefault="6B9DA63D" w:rsidP="2639782B">
      <w:pPr>
        <w:pStyle w:val="ListParagraph"/>
        <w:numPr>
          <w:ilvl w:val="0"/>
          <w:numId w:val="30"/>
        </w:numPr>
        <w:spacing w:line="276" w:lineRule="auto"/>
        <w:jc w:val="both"/>
        <w:rPr>
          <w:rFonts w:asciiTheme="majorBidi" w:eastAsia="Aptos" w:hAnsiTheme="majorBidi" w:cstheme="majorBidi"/>
          <w:sz w:val="24"/>
          <w:szCs w:val="24"/>
        </w:rPr>
      </w:pPr>
      <w:r w:rsidRPr="2639782B">
        <w:rPr>
          <w:rFonts w:asciiTheme="majorBidi" w:eastAsia="Aptos" w:hAnsiTheme="majorBidi" w:cstheme="majorBidi"/>
          <w:sz w:val="24"/>
          <w:szCs w:val="24"/>
        </w:rPr>
        <w:t xml:space="preserve">taux d’exécution du programme de mobilisation ; </w:t>
      </w:r>
    </w:p>
    <w:p w14:paraId="096DE5EB" w14:textId="77777777" w:rsidR="00786FFD" w:rsidRDefault="6B9DA63D" w:rsidP="2639782B">
      <w:pPr>
        <w:pStyle w:val="ListParagraph"/>
        <w:numPr>
          <w:ilvl w:val="0"/>
          <w:numId w:val="30"/>
        </w:numPr>
        <w:spacing w:line="276" w:lineRule="auto"/>
        <w:jc w:val="both"/>
        <w:rPr>
          <w:rFonts w:asciiTheme="majorBidi" w:eastAsia="Aptos" w:hAnsiTheme="majorBidi" w:cstheme="majorBidi"/>
          <w:sz w:val="24"/>
          <w:szCs w:val="24"/>
        </w:rPr>
      </w:pPr>
      <w:r w:rsidRPr="2639782B">
        <w:rPr>
          <w:rFonts w:asciiTheme="majorBidi" w:eastAsia="Aptos" w:hAnsiTheme="majorBidi" w:cstheme="majorBidi"/>
          <w:sz w:val="24"/>
          <w:szCs w:val="24"/>
        </w:rPr>
        <w:t xml:space="preserve">nombre et diversité des participants, avec ventilation appropriée ; </w:t>
      </w:r>
    </w:p>
    <w:p w14:paraId="7D3ADF09" w14:textId="77777777" w:rsidR="00786FFD" w:rsidRDefault="6B9DA63D" w:rsidP="2639782B">
      <w:pPr>
        <w:pStyle w:val="ListParagraph"/>
        <w:numPr>
          <w:ilvl w:val="0"/>
          <w:numId w:val="30"/>
        </w:numPr>
        <w:spacing w:line="276" w:lineRule="auto"/>
        <w:jc w:val="both"/>
        <w:rPr>
          <w:rFonts w:asciiTheme="majorBidi" w:eastAsia="Aptos" w:hAnsiTheme="majorBidi" w:cstheme="majorBidi"/>
          <w:sz w:val="24"/>
          <w:szCs w:val="24"/>
        </w:rPr>
      </w:pPr>
      <w:r w:rsidRPr="2639782B">
        <w:rPr>
          <w:rFonts w:asciiTheme="majorBidi" w:eastAsia="Aptos" w:hAnsiTheme="majorBidi" w:cstheme="majorBidi"/>
          <w:sz w:val="24"/>
          <w:szCs w:val="24"/>
        </w:rPr>
        <w:t xml:space="preserve">proportion de groupes vulnérables effectivement consultés ; </w:t>
      </w:r>
    </w:p>
    <w:p w14:paraId="3933F90D" w14:textId="77777777" w:rsidR="00786FFD" w:rsidRDefault="6B9DA63D" w:rsidP="2639782B">
      <w:pPr>
        <w:pStyle w:val="ListParagraph"/>
        <w:numPr>
          <w:ilvl w:val="0"/>
          <w:numId w:val="30"/>
        </w:numPr>
        <w:spacing w:line="276" w:lineRule="auto"/>
        <w:jc w:val="both"/>
        <w:rPr>
          <w:rFonts w:asciiTheme="majorBidi" w:eastAsia="Aptos" w:hAnsiTheme="majorBidi" w:cstheme="majorBidi"/>
          <w:sz w:val="24"/>
          <w:szCs w:val="24"/>
        </w:rPr>
      </w:pPr>
      <w:r w:rsidRPr="2639782B">
        <w:rPr>
          <w:rFonts w:asciiTheme="majorBidi" w:eastAsia="Aptos" w:hAnsiTheme="majorBidi" w:cstheme="majorBidi"/>
          <w:sz w:val="24"/>
          <w:szCs w:val="24"/>
        </w:rPr>
        <w:t>taux de commentaires ayant reçu une réponse ;</w:t>
      </w:r>
    </w:p>
    <w:p w14:paraId="6E16E85C" w14:textId="77777777" w:rsidR="00786FFD" w:rsidRDefault="6B9DA63D" w:rsidP="2639782B">
      <w:pPr>
        <w:pStyle w:val="ListParagraph"/>
        <w:numPr>
          <w:ilvl w:val="0"/>
          <w:numId w:val="30"/>
        </w:numPr>
        <w:spacing w:line="276" w:lineRule="auto"/>
        <w:jc w:val="both"/>
        <w:rPr>
          <w:rFonts w:asciiTheme="majorBidi" w:eastAsia="Aptos" w:hAnsiTheme="majorBidi" w:cstheme="majorBidi"/>
          <w:sz w:val="24"/>
          <w:szCs w:val="24"/>
        </w:rPr>
      </w:pPr>
      <w:r w:rsidRPr="2639782B">
        <w:rPr>
          <w:rFonts w:asciiTheme="majorBidi" w:eastAsia="Aptos" w:hAnsiTheme="majorBidi" w:cstheme="majorBidi"/>
          <w:sz w:val="24"/>
          <w:szCs w:val="24"/>
        </w:rPr>
        <w:t xml:space="preserve">délai moyen de traitement des plaintes ; </w:t>
      </w:r>
    </w:p>
    <w:p w14:paraId="5DF184C5" w14:textId="77777777" w:rsidR="00786FFD" w:rsidRDefault="6B9DA63D" w:rsidP="2639782B">
      <w:pPr>
        <w:pStyle w:val="ListParagraph"/>
        <w:numPr>
          <w:ilvl w:val="0"/>
          <w:numId w:val="30"/>
        </w:numPr>
        <w:spacing w:line="276" w:lineRule="auto"/>
        <w:jc w:val="both"/>
        <w:rPr>
          <w:rFonts w:asciiTheme="majorBidi" w:eastAsia="Aptos" w:hAnsiTheme="majorBidi" w:cstheme="majorBidi"/>
          <w:sz w:val="24"/>
          <w:szCs w:val="24"/>
        </w:rPr>
      </w:pPr>
      <w:r w:rsidRPr="2639782B">
        <w:rPr>
          <w:rFonts w:asciiTheme="majorBidi" w:eastAsia="Aptos" w:hAnsiTheme="majorBidi" w:cstheme="majorBidi"/>
          <w:sz w:val="24"/>
          <w:szCs w:val="24"/>
        </w:rPr>
        <w:t xml:space="preserve">proportion de plaintes closes dans les délais ; </w:t>
      </w:r>
    </w:p>
    <w:p w14:paraId="026DCCF1" w14:textId="77777777" w:rsidR="00786FFD" w:rsidRDefault="6B9DA63D" w:rsidP="2639782B">
      <w:pPr>
        <w:pStyle w:val="ListParagraph"/>
        <w:numPr>
          <w:ilvl w:val="0"/>
          <w:numId w:val="30"/>
        </w:numPr>
        <w:spacing w:line="276" w:lineRule="auto"/>
        <w:jc w:val="both"/>
        <w:rPr>
          <w:rFonts w:asciiTheme="majorBidi" w:eastAsia="Aptos" w:hAnsiTheme="majorBidi" w:cstheme="majorBidi"/>
          <w:sz w:val="24"/>
          <w:szCs w:val="24"/>
        </w:rPr>
      </w:pPr>
      <w:r w:rsidRPr="2639782B">
        <w:rPr>
          <w:rFonts w:asciiTheme="majorBidi" w:eastAsia="Aptos" w:hAnsiTheme="majorBidi" w:cstheme="majorBidi"/>
          <w:sz w:val="24"/>
          <w:szCs w:val="24"/>
        </w:rPr>
        <w:t xml:space="preserve">niveau de satisfaction des parties prenantes ; </w:t>
      </w:r>
    </w:p>
    <w:p w14:paraId="6453B1BA" w14:textId="77777777" w:rsidR="00786FFD" w:rsidRDefault="6B9DA63D" w:rsidP="2639782B">
      <w:pPr>
        <w:pStyle w:val="ListParagraph"/>
        <w:numPr>
          <w:ilvl w:val="0"/>
          <w:numId w:val="30"/>
        </w:numPr>
        <w:spacing w:line="276" w:lineRule="auto"/>
        <w:jc w:val="both"/>
        <w:rPr>
          <w:rFonts w:asciiTheme="majorBidi" w:eastAsia="Aptos" w:hAnsiTheme="majorBidi" w:cstheme="majorBidi"/>
          <w:sz w:val="24"/>
          <w:szCs w:val="24"/>
        </w:rPr>
      </w:pPr>
      <w:r w:rsidRPr="2639782B">
        <w:rPr>
          <w:rFonts w:asciiTheme="majorBidi" w:eastAsia="Aptos" w:hAnsiTheme="majorBidi" w:cstheme="majorBidi"/>
          <w:sz w:val="24"/>
          <w:szCs w:val="24"/>
        </w:rPr>
        <w:t xml:space="preserve">nombre d’actions de restitution réalisées. </w:t>
      </w:r>
    </w:p>
    <w:p w14:paraId="0B6ACC04" w14:textId="495BDDAA" w:rsidR="0083496A" w:rsidRPr="00786FFD" w:rsidRDefault="6B9DA63D" w:rsidP="00786FFD">
      <w:pPr>
        <w:spacing w:line="276" w:lineRule="auto"/>
        <w:ind w:left="360"/>
        <w:jc w:val="both"/>
        <w:rPr>
          <w:rFonts w:asciiTheme="majorBidi" w:eastAsia="Aptos" w:hAnsiTheme="majorBidi" w:cstheme="majorBidi"/>
          <w:sz w:val="24"/>
          <w:szCs w:val="24"/>
          <w:lang w:val="fr"/>
        </w:rPr>
      </w:pPr>
      <w:r w:rsidRPr="00786FFD">
        <w:rPr>
          <w:rFonts w:asciiTheme="majorBidi" w:eastAsia="Aptos" w:hAnsiTheme="majorBidi" w:cstheme="majorBidi"/>
          <w:sz w:val="24"/>
          <w:szCs w:val="24"/>
          <w:lang w:val="fr"/>
        </w:rPr>
        <w:t>Les résultats seront examinés chaque trimestre par le comité conjoint et donneront lieu, si nécessaire, à des mesures correctives assorties de responsables et d’échéances.</w:t>
      </w:r>
    </w:p>
    <w:p w14:paraId="1879685C" w14:textId="77777777" w:rsidR="0083496A" w:rsidRPr="00786FFD" w:rsidRDefault="0083496A" w:rsidP="00786FFD">
      <w:pPr>
        <w:spacing w:after="0" w:line="276" w:lineRule="auto"/>
        <w:jc w:val="both"/>
        <w:rPr>
          <w:rFonts w:asciiTheme="majorBidi" w:hAnsiTheme="majorBidi" w:cstheme="majorBidi"/>
          <w:sz w:val="24"/>
          <w:szCs w:val="24"/>
        </w:rPr>
      </w:pPr>
      <w:r w:rsidRPr="00786FFD">
        <w:rPr>
          <w:rFonts w:asciiTheme="majorBidi" w:hAnsiTheme="majorBidi" w:cstheme="majorBidi"/>
          <w:sz w:val="24"/>
          <w:szCs w:val="24"/>
        </w:rPr>
        <w:t xml:space="preserve">Les rapports sur le PMPP comprendront : </w:t>
      </w:r>
    </w:p>
    <w:p w14:paraId="56C93544" w14:textId="12564B16" w:rsidR="0083496A" w:rsidRPr="00786FFD" w:rsidRDefault="0083496A" w:rsidP="00786FFD">
      <w:pPr>
        <w:pStyle w:val="ListParagraph"/>
        <w:numPr>
          <w:ilvl w:val="0"/>
          <w:numId w:val="30"/>
        </w:numPr>
        <w:spacing w:line="276" w:lineRule="auto"/>
        <w:jc w:val="both"/>
        <w:rPr>
          <w:rFonts w:asciiTheme="majorBidi" w:eastAsia="Aptos" w:hAnsiTheme="majorBidi" w:cstheme="majorBidi"/>
          <w:sz w:val="24"/>
          <w:szCs w:val="24"/>
          <w:lang w:val="fr"/>
        </w:rPr>
      </w:pPr>
      <w:r w:rsidRPr="00786FFD">
        <w:rPr>
          <w:rFonts w:asciiTheme="majorBidi" w:eastAsia="Aptos" w:hAnsiTheme="majorBidi" w:cstheme="majorBidi"/>
          <w:sz w:val="24"/>
          <w:szCs w:val="24"/>
          <w:lang w:val="fr"/>
        </w:rPr>
        <w:t>Rapports trimestriels internes sur la mise en œuvre du PMPP et du MGP.</w:t>
      </w:r>
    </w:p>
    <w:p w14:paraId="000D43AE" w14:textId="1DD32808" w:rsidR="0083496A" w:rsidRPr="00786FFD" w:rsidRDefault="0083496A" w:rsidP="00786FFD">
      <w:pPr>
        <w:pStyle w:val="ListParagraph"/>
        <w:numPr>
          <w:ilvl w:val="0"/>
          <w:numId w:val="30"/>
        </w:numPr>
        <w:spacing w:line="276" w:lineRule="auto"/>
        <w:jc w:val="both"/>
        <w:rPr>
          <w:rFonts w:asciiTheme="majorBidi" w:eastAsia="Aptos" w:hAnsiTheme="majorBidi" w:cstheme="majorBidi"/>
          <w:sz w:val="24"/>
          <w:szCs w:val="24"/>
          <w:lang w:val="fr"/>
        </w:rPr>
      </w:pPr>
      <w:r w:rsidRPr="00786FFD">
        <w:rPr>
          <w:rFonts w:asciiTheme="majorBidi" w:eastAsia="Aptos" w:hAnsiTheme="majorBidi" w:cstheme="majorBidi"/>
          <w:sz w:val="24"/>
          <w:szCs w:val="24"/>
          <w:lang w:val="fr"/>
        </w:rPr>
        <w:t>Rapports semestriels de performance environnementale et sociale transmis à la Banque mondiale.</w:t>
      </w:r>
    </w:p>
    <w:p w14:paraId="17EA12C0" w14:textId="2708D27D" w:rsidR="0083496A" w:rsidRPr="00786FFD" w:rsidRDefault="0083496A" w:rsidP="00786FFD">
      <w:pPr>
        <w:pStyle w:val="ListParagraph"/>
        <w:numPr>
          <w:ilvl w:val="0"/>
          <w:numId w:val="30"/>
        </w:numPr>
        <w:spacing w:line="276" w:lineRule="auto"/>
        <w:jc w:val="both"/>
        <w:rPr>
          <w:rFonts w:asciiTheme="majorBidi" w:eastAsia="Aptos" w:hAnsiTheme="majorBidi" w:cstheme="majorBidi"/>
          <w:sz w:val="24"/>
          <w:szCs w:val="24"/>
          <w:lang w:val="fr"/>
        </w:rPr>
      </w:pPr>
      <w:r w:rsidRPr="00786FFD">
        <w:rPr>
          <w:rFonts w:asciiTheme="majorBidi" w:eastAsia="Aptos" w:hAnsiTheme="majorBidi" w:cstheme="majorBidi"/>
          <w:sz w:val="24"/>
          <w:szCs w:val="24"/>
          <w:lang w:val="fr"/>
        </w:rPr>
        <w:t>Synthèses accessibles au public sur les résultats majeurs, consultations réalisées et mesures prises.</w:t>
      </w:r>
    </w:p>
    <w:p w14:paraId="09DE0D7F" w14:textId="7CB88B03" w:rsidR="0083496A" w:rsidRPr="00786FFD" w:rsidRDefault="0083496A" w:rsidP="00786FFD">
      <w:pPr>
        <w:pStyle w:val="ListParagraph"/>
        <w:numPr>
          <w:ilvl w:val="0"/>
          <w:numId w:val="30"/>
        </w:numPr>
        <w:spacing w:line="276" w:lineRule="auto"/>
        <w:jc w:val="both"/>
        <w:rPr>
          <w:rFonts w:asciiTheme="majorBidi" w:eastAsia="Aptos" w:hAnsiTheme="majorBidi" w:cstheme="majorBidi"/>
          <w:sz w:val="24"/>
          <w:szCs w:val="24"/>
          <w:lang w:val="fr"/>
        </w:rPr>
      </w:pPr>
      <w:r w:rsidRPr="00786FFD">
        <w:rPr>
          <w:rFonts w:asciiTheme="majorBidi" w:eastAsia="Aptos" w:hAnsiTheme="majorBidi" w:cstheme="majorBidi"/>
          <w:sz w:val="24"/>
          <w:szCs w:val="24"/>
          <w:lang w:val="fr"/>
        </w:rPr>
        <w:t>Restitutions locales dans les zones où des consultations communautaires ou des activités de suivi environnemental auront été réalisées dans le cadre de réunions organisées avec les autorités administratives et territoriales compétentes et les communautés concernées.</w:t>
      </w:r>
    </w:p>
    <w:p w14:paraId="26B875AF" w14:textId="4FECC945" w:rsidR="0083496A" w:rsidRPr="00786FFD" w:rsidRDefault="0083496A" w:rsidP="00786FFD">
      <w:pPr>
        <w:pStyle w:val="ListParagraph"/>
        <w:numPr>
          <w:ilvl w:val="0"/>
          <w:numId w:val="30"/>
        </w:numPr>
        <w:spacing w:line="276" w:lineRule="auto"/>
        <w:jc w:val="both"/>
        <w:rPr>
          <w:rFonts w:asciiTheme="majorBidi" w:eastAsia="Aptos" w:hAnsiTheme="majorBidi" w:cstheme="majorBidi"/>
          <w:sz w:val="24"/>
          <w:szCs w:val="24"/>
          <w:lang w:val="fr"/>
        </w:rPr>
      </w:pPr>
      <w:r w:rsidRPr="00786FFD">
        <w:rPr>
          <w:rFonts w:asciiTheme="majorBidi" w:eastAsia="Aptos" w:hAnsiTheme="majorBidi" w:cstheme="majorBidi"/>
          <w:sz w:val="24"/>
          <w:szCs w:val="24"/>
          <w:lang w:val="fr"/>
        </w:rPr>
        <w:t>Atelier national de capitalisation à la clôture du projet.</w:t>
      </w:r>
    </w:p>
    <w:p w14:paraId="0D8772DE" w14:textId="77777777" w:rsidR="0083496A" w:rsidRPr="00D91BFF" w:rsidRDefault="0083496A" w:rsidP="00D91BFF">
      <w:pPr>
        <w:spacing w:line="276" w:lineRule="auto"/>
        <w:ind w:left="360"/>
        <w:jc w:val="both"/>
        <w:rPr>
          <w:rFonts w:asciiTheme="majorBidi" w:eastAsia="Aptos" w:hAnsiTheme="majorBidi" w:cstheme="majorBidi"/>
          <w:sz w:val="24"/>
          <w:szCs w:val="24"/>
          <w:lang w:val="fr"/>
        </w:rPr>
      </w:pPr>
      <w:r w:rsidRPr="00D91BFF">
        <w:rPr>
          <w:rFonts w:asciiTheme="majorBidi" w:eastAsia="Aptos" w:hAnsiTheme="majorBidi" w:cstheme="majorBidi"/>
          <w:sz w:val="24"/>
          <w:szCs w:val="24"/>
          <w:lang w:val="fr"/>
        </w:rPr>
        <w:t>Chaque UGP assurera le suivi et le rapportage des activités relevant de ses composantes respectives.</w:t>
      </w:r>
    </w:p>
    <w:p w14:paraId="68C3E97F" w14:textId="546DB011" w:rsidR="000F6AF8" w:rsidRPr="00786FFD" w:rsidRDefault="000F6AF8" w:rsidP="000F6AF8">
      <w:pPr>
        <w:pStyle w:val="Title"/>
        <w:widowControl w:val="0"/>
        <w:numPr>
          <w:ilvl w:val="0"/>
          <w:numId w:val="35"/>
        </w:numPr>
        <w:autoSpaceDE w:val="0"/>
        <w:autoSpaceDN w:val="0"/>
        <w:spacing w:after="0" w:line="276" w:lineRule="auto"/>
        <w:ind w:right="455"/>
        <w:contextualSpacing w:val="0"/>
        <w:rPr>
          <w:rFonts w:asciiTheme="majorBidi" w:eastAsiaTheme="minorHAnsi" w:hAnsiTheme="majorBidi"/>
          <w:b/>
          <w:bCs/>
          <w:kern w:val="2"/>
          <w:sz w:val="28"/>
          <w:szCs w:val="28"/>
        </w:rPr>
      </w:pPr>
      <w:r>
        <w:rPr>
          <w:rFonts w:asciiTheme="majorBidi" w:eastAsiaTheme="minorHAnsi" w:hAnsiTheme="majorBidi"/>
          <w:b/>
          <w:bCs/>
          <w:kern w:val="2"/>
          <w:sz w:val="28"/>
          <w:szCs w:val="28"/>
        </w:rPr>
        <w:t>Budget du PMPP</w:t>
      </w:r>
    </w:p>
    <w:tbl>
      <w:tblPr>
        <w:tblW w:w="90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11"/>
        <w:gridCol w:w="918"/>
        <w:gridCol w:w="959"/>
        <w:gridCol w:w="1609"/>
        <w:gridCol w:w="778"/>
        <w:gridCol w:w="1781"/>
      </w:tblGrid>
      <w:tr w:rsidR="000F6AF8" w:rsidRPr="000F6AF8" w14:paraId="464F91D8" w14:textId="77777777" w:rsidTr="007910F2">
        <w:trPr>
          <w:trHeight w:val="300"/>
        </w:trPr>
        <w:tc>
          <w:tcPr>
            <w:tcW w:w="3011" w:type="dxa"/>
            <w:tcBorders>
              <w:top w:val="single" w:sz="6" w:space="0" w:color="auto"/>
              <w:left w:val="single" w:sz="6" w:space="0" w:color="auto"/>
              <w:bottom w:val="single" w:sz="6" w:space="0" w:color="auto"/>
              <w:right w:val="single" w:sz="6" w:space="0" w:color="auto"/>
            </w:tcBorders>
            <w:vAlign w:val="bottom"/>
            <w:hideMark/>
          </w:tcPr>
          <w:p w14:paraId="423105D7" w14:textId="77777777" w:rsidR="000F6AF8" w:rsidRPr="000F6AF8" w:rsidRDefault="000F6AF8" w:rsidP="007910F2">
            <w:pPr>
              <w:spacing w:after="0" w:line="240" w:lineRule="auto"/>
              <w:jc w:val="center"/>
              <w:textAlignment w:val="baseline"/>
              <w:rPr>
                <w:rFonts w:asciiTheme="majorBidi" w:eastAsia="Times New Roman" w:hAnsiTheme="majorBidi" w:cstheme="majorBidi"/>
                <w:color w:val="000000"/>
                <w:kern w:val="0"/>
                <w:sz w:val="20"/>
                <w:szCs w:val="20"/>
                <w14:ligatures w14:val="none"/>
              </w:rPr>
            </w:pPr>
            <w:r w:rsidRPr="000F6AF8">
              <w:rPr>
                <w:rFonts w:asciiTheme="majorBidi" w:eastAsia="Times New Roman" w:hAnsiTheme="majorBidi" w:cstheme="majorBidi"/>
                <w:b/>
                <w:bCs/>
                <w:color w:val="000000"/>
                <w:kern w:val="0"/>
                <w:sz w:val="20"/>
                <w:szCs w:val="20"/>
                <w14:ligatures w14:val="none"/>
              </w:rPr>
              <w:t>Catégorie budgétaire</w:t>
            </w:r>
            <w:r w:rsidRPr="000F6AF8">
              <w:rPr>
                <w:rFonts w:asciiTheme="majorBidi" w:eastAsia="Times New Roman" w:hAnsiTheme="majorBidi" w:cstheme="majorBidi"/>
                <w:color w:val="000000"/>
                <w:kern w:val="0"/>
                <w:sz w:val="20"/>
                <w:szCs w:val="20"/>
                <w14:ligatures w14:val="none"/>
              </w:rPr>
              <w:t> </w:t>
            </w:r>
          </w:p>
        </w:tc>
        <w:tc>
          <w:tcPr>
            <w:tcW w:w="918" w:type="dxa"/>
            <w:tcBorders>
              <w:top w:val="single" w:sz="6" w:space="0" w:color="auto"/>
              <w:left w:val="single" w:sz="6" w:space="0" w:color="auto"/>
              <w:bottom w:val="single" w:sz="6" w:space="0" w:color="auto"/>
              <w:right w:val="single" w:sz="6" w:space="0" w:color="auto"/>
            </w:tcBorders>
            <w:vAlign w:val="bottom"/>
            <w:hideMark/>
          </w:tcPr>
          <w:p w14:paraId="6DB9F3BA" w14:textId="77777777" w:rsidR="000F6AF8" w:rsidRPr="000F6AF8" w:rsidRDefault="000F6AF8" w:rsidP="007910F2">
            <w:pPr>
              <w:spacing w:after="0" w:line="240" w:lineRule="auto"/>
              <w:jc w:val="center"/>
              <w:textAlignment w:val="baseline"/>
              <w:rPr>
                <w:rFonts w:asciiTheme="majorBidi" w:eastAsia="Times New Roman" w:hAnsiTheme="majorBidi" w:cstheme="majorBidi"/>
                <w:color w:val="000000"/>
                <w:kern w:val="0"/>
                <w:sz w:val="20"/>
                <w:szCs w:val="20"/>
                <w14:ligatures w14:val="none"/>
              </w:rPr>
            </w:pPr>
            <w:r w:rsidRPr="000F6AF8">
              <w:rPr>
                <w:rFonts w:asciiTheme="majorBidi" w:eastAsia="Times New Roman" w:hAnsiTheme="majorBidi" w:cstheme="majorBidi"/>
                <w:b/>
                <w:bCs/>
                <w:color w:val="000000"/>
                <w:kern w:val="0"/>
                <w:sz w:val="20"/>
                <w:szCs w:val="20"/>
                <w14:ligatures w14:val="none"/>
              </w:rPr>
              <w:t>Quantité</w:t>
            </w:r>
            <w:r w:rsidRPr="000F6AF8">
              <w:rPr>
                <w:rFonts w:asciiTheme="majorBidi" w:eastAsia="Times New Roman" w:hAnsiTheme="majorBidi" w:cstheme="majorBidi"/>
                <w:color w:val="000000"/>
                <w:kern w:val="0"/>
                <w:sz w:val="20"/>
                <w:szCs w:val="20"/>
                <w14:ligatures w14:val="none"/>
              </w:rPr>
              <w:t> </w:t>
            </w:r>
          </w:p>
        </w:tc>
        <w:tc>
          <w:tcPr>
            <w:tcW w:w="959" w:type="dxa"/>
            <w:tcBorders>
              <w:top w:val="single" w:sz="6" w:space="0" w:color="auto"/>
              <w:left w:val="single" w:sz="6" w:space="0" w:color="auto"/>
              <w:bottom w:val="single" w:sz="6" w:space="0" w:color="auto"/>
              <w:right w:val="single" w:sz="6" w:space="0" w:color="auto"/>
            </w:tcBorders>
            <w:vAlign w:val="bottom"/>
            <w:hideMark/>
          </w:tcPr>
          <w:p w14:paraId="11C8129F" w14:textId="77777777" w:rsidR="000F6AF8" w:rsidRPr="000F6AF8" w:rsidRDefault="000F6AF8" w:rsidP="007910F2">
            <w:pPr>
              <w:spacing w:after="0" w:line="240" w:lineRule="auto"/>
              <w:jc w:val="center"/>
              <w:textAlignment w:val="baseline"/>
              <w:rPr>
                <w:rFonts w:asciiTheme="majorBidi" w:eastAsia="Times New Roman" w:hAnsiTheme="majorBidi" w:cstheme="majorBidi"/>
                <w:b/>
                <w:bCs/>
                <w:color w:val="000000"/>
                <w:kern w:val="0"/>
                <w:sz w:val="20"/>
                <w:szCs w:val="20"/>
                <w14:ligatures w14:val="none"/>
              </w:rPr>
            </w:pPr>
            <w:r w:rsidRPr="000F6AF8">
              <w:rPr>
                <w:rFonts w:asciiTheme="majorBidi" w:eastAsia="Times New Roman" w:hAnsiTheme="majorBidi" w:cstheme="majorBidi"/>
                <w:b/>
                <w:bCs/>
                <w:color w:val="000000"/>
                <w:kern w:val="0"/>
                <w:sz w:val="20"/>
                <w:szCs w:val="20"/>
                <w14:ligatures w14:val="none"/>
              </w:rPr>
              <w:t>Coûts unitaires</w:t>
            </w:r>
          </w:p>
          <w:p w14:paraId="437F0E8A" w14:textId="77777777" w:rsidR="000F6AF8" w:rsidRPr="000F6AF8" w:rsidRDefault="000F6AF8" w:rsidP="007910F2">
            <w:pPr>
              <w:spacing w:after="0" w:line="240" w:lineRule="auto"/>
              <w:jc w:val="center"/>
              <w:textAlignment w:val="baseline"/>
              <w:rPr>
                <w:rFonts w:asciiTheme="majorBidi" w:eastAsia="Times New Roman" w:hAnsiTheme="majorBidi" w:cstheme="majorBidi"/>
                <w:color w:val="000000"/>
                <w:kern w:val="0"/>
                <w:sz w:val="20"/>
                <w:szCs w:val="20"/>
                <w14:ligatures w14:val="none"/>
              </w:rPr>
            </w:pPr>
            <w:r w:rsidRPr="000F6AF8">
              <w:rPr>
                <w:rFonts w:asciiTheme="majorBidi" w:hAnsiTheme="majorBidi" w:cstheme="majorBidi"/>
                <w:b/>
                <w:bCs/>
                <w:sz w:val="20"/>
                <w:szCs w:val="20"/>
              </w:rPr>
              <w:t>(USD)</w:t>
            </w:r>
            <w:r w:rsidRPr="000F6AF8">
              <w:rPr>
                <w:rFonts w:asciiTheme="majorBidi" w:eastAsia="Times New Roman" w:hAnsiTheme="majorBidi" w:cstheme="majorBidi"/>
                <w:color w:val="000000"/>
                <w:kern w:val="0"/>
                <w:sz w:val="20"/>
                <w:szCs w:val="20"/>
                <w14:ligatures w14:val="none"/>
              </w:rPr>
              <w:t> </w:t>
            </w:r>
          </w:p>
        </w:tc>
        <w:tc>
          <w:tcPr>
            <w:tcW w:w="1609" w:type="dxa"/>
            <w:tcBorders>
              <w:top w:val="single" w:sz="6" w:space="0" w:color="auto"/>
              <w:left w:val="single" w:sz="6" w:space="0" w:color="auto"/>
              <w:bottom w:val="single" w:sz="6" w:space="0" w:color="auto"/>
              <w:right w:val="single" w:sz="6" w:space="0" w:color="auto"/>
            </w:tcBorders>
            <w:vAlign w:val="bottom"/>
            <w:hideMark/>
          </w:tcPr>
          <w:p w14:paraId="7C5DA77C" w14:textId="77777777" w:rsidR="000F6AF8" w:rsidRPr="000F6AF8" w:rsidRDefault="000F6AF8" w:rsidP="007910F2">
            <w:pPr>
              <w:spacing w:after="0" w:line="240" w:lineRule="auto"/>
              <w:jc w:val="center"/>
              <w:textAlignment w:val="baseline"/>
              <w:rPr>
                <w:rFonts w:asciiTheme="majorBidi" w:eastAsia="Times New Roman" w:hAnsiTheme="majorBidi" w:cstheme="majorBidi"/>
                <w:color w:val="000000"/>
                <w:kern w:val="0"/>
                <w:sz w:val="20"/>
                <w:szCs w:val="20"/>
                <w14:ligatures w14:val="none"/>
              </w:rPr>
            </w:pPr>
            <w:r w:rsidRPr="000F6AF8">
              <w:rPr>
                <w:rFonts w:asciiTheme="majorBidi" w:eastAsia="Times New Roman" w:hAnsiTheme="majorBidi" w:cstheme="majorBidi"/>
                <w:b/>
                <w:bCs/>
                <w:color w:val="000000"/>
                <w:kern w:val="0"/>
                <w:sz w:val="20"/>
                <w:szCs w:val="20"/>
                <w14:ligatures w14:val="none"/>
              </w:rPr>
              <w:t>Périodes/années</w:t>
            </w:r>
            <w:r w:rsidRPr="000F6AF8">
              <w:rPr>
                <w:rFonts w:asciiTheme="majorBidi" w:eastAsia="Times New Roman" w:hAnsiTheme="majorBidi" w:cstheme="majorBidi"/>
                <w:color w:val="000000"/>
                <w:kern w:val="0"/>
                <w:sz w:val="20"/>
                <w:szCs w:val="20"/>
                <w14:ligatures w14:val="none"/>
              </w:rPr>
              <w:t> </w:t>
            </w:r>
          </w:p>
          <w:p w14:paraId="2FEF3AB5" w14:textId="77777777" w:rsidR="000F6AF8" w:rsidRPr="000F6AF8" w:rsidRDefault="000F6AF8" w:rsidP="007910F2">
            <w:pPr>
              <w:spacing w:after="0" w:line="240" w:lineRule="auto"/>
              <w:jc w:val="center"/>
              <w:textAlignment w:val="baseline"/>
              <w:rPr>
                <w:rFonts w:asciiTheme="majorBidi" w:eastAsia="Times New Roman" w:hAnsiTheme="majorBidi" w:cstheme="majorBidi"/>
                <w:color w:val="000000"/>
                <w:kern w:val="0"/>
                <w:sz w:val="20"/>
                <w:szCs w:val="20"/>
                <w14:ligatures w14:val="none"/>
              </w:rPr>
            </w:pPr>
            <w:r w:rsidRPr="000F6AF8">
              <w:rPr>
                <w:rFonts w:asciiTheme="majorBidi" w:eastAsia="Times New Roman" w:hAnsiTheme="majorBidi" w:cstheme="majorBidi"/>
                <w:color w:val="000000"/>
                <w:kern w:val="0"/>
                <w:sz w:val="20"/>
                <w:szCs w:val="20"/>
                <w14:ligatures w14:val="none"/>
              </w:rPr>
              <w:t> </w:t>
            </w:r>
          </w:p>
        </w:tc>
        <w:tc>
          <w:tcPr>
            <w:tcW w:w="778" w:type="dxa"/>
            <w:tcBorders>
              <w:top w:val="single" w:sz="6" w:space="0" w:color="auto"/>
              <w:left w:val="single" w:sz="6" w:space="0" w:color="auto"/>
              <w:bottom w:val="single" w:sz="6" w:space="0" w:color="auto"/>
              <w:right w:val="single" w:sz="6" w:space="0" w:color="auto"/>
            </w:tcBorders>
            <w:vAlign w:val="bottom"/>
            <w:hideMark/>
          </w:tcPr>
          <w:p w14:paraId="07ABF292" w14:textId="77777777" w:rsidR="000F6AF8" w:rsidRPr="000F6AF8" w:rsidRDefault="000F6AF8" w:rsidP="007910F2">
            <w:pPr>
              <w:spacing w:after="0" w:line="240" w:lineRule="auto"/>
              <w:jc w:val="center"/>
              <w:textAlignment w:val="baseline"/>
              <w:rPr>
                <w:rFonts w:asciiTheme="majorBidi" w:eastAsia="Times New Roman" w:hAnsiTheme="majorBidi" w:cstheme="majorBidi"/>
                <w:color w:val="000000"/>
                <w:kern w:val="0"/>
                <w:sz w:val="20"/>
                <w:szCs w:val="20"/>
                <w14:ligatures w14:val="none"/>
              </w:rPr>
            </w:pPr>
            <w:r w:rsidRPr="000F6AF8">
              <w:rPr>
                <w:rFonts w:asciiTheme="majorBidi" w:eastAsia="Times New Roman" w:hAnsiTheme="majorBidi" w:cstheme="majorBidi"/>
                <w:b/>
                <w:bCs/>
                <w:color w:val="000000"/>
                <w:kern w:val="0"/>
                <w:sz w:val="20"/>
                <w:szCs w:val="20"/>
                <w14:ligatures w14:val="none"/>
              </w:rPr>
              <w:t>Coût total</w:t>
            </w:r>
            <w:r w:rsidRPr="000F6AF8">
              <w:rPr>
                <w:rFonts w:asciiTheme="majorBidi" w:eastAsia="Times New Roman" w:hAnsiTheme="majorBidi" w:cstheme="majorBidi"/>
                <w:color w:val="000000"/>
                <w:kern w:val="0"/>
                <w:sz w:val="20"/>
                <w:szCs w:val="20"/>
                <w14:ligatures w14:val="none"/>
              </w:rPr>
              <w:t> </w:t>
            </w:r>
          </w:p>
          <w:p w14:paraId="6A858315" w14:textId="77777777" w:rsidR="000F6AF8" w:rsidRPr="000F6AF8" w:rsidRDefault="000F6AF8" w:rsidP="007910F2">
            <w:pPr>
              <w:spacing w:after="0" w:line="240" w:lineRule="auto"/>
              <w:jc w:val="center"/>
              <w:textAlignment w:val="baseline"/>
              <w:rPr>
                <w:rFonts w:asciiTheme="majorBidi" w:eastAsia="Times New Roman" w:hAnsiTheme="majorBidi" w:cstheme="majorBidi"/>
                <w:color w:val="000000"/>
                <w:kern w:val="0"/>
                <w:sz w:val="20"/>
                <w:szCs w:val="20"/>
                <w14:ligatures w14:val="none"/>
              </w:rPr>
            </w:pPr>
            <w:r w:rsidRPr="000F6AF8">
              <w:rPr>
                <w:rFonts w:asciiTheme="majorBidi" w:hAnsiTheme="majorBidi" w:cstheme="majorBidi"/>
                <w:b/>
                <w:bCs/>
                <w:sz w:val="20"/>
                <w:szCs w:val="20"/>
              </w:rPr>
              <w:t>(USD)</w:t>
            </w:r>
          </w:p>
        </w:tc>
        <w:tc>
          <w:tcPr>
            <w:tcW w:w="1781" w:type="dxa"/>
            <w:tcBorders>
              <w:top w:val="single" w:sz="6" w:space="0" w:color="auto"/>
              <w:left w:val="single" w:sz="6" w:space="0" w:color="auto"/>
              <w:bottom w:val="single" w:sz="6" w:space="0" w:color="auto"/>
              <w:right w:val="single" w:sz="6" w:space="0" w:color="auto"/>
            </w:tcBorders>
            <w:vAlign w:val="bottom"/>
            <w:hideMark/>
          </w:tcPr>
          <w:p w14:paraId="1F02B7BD" w14:textId="77777777" w:rsidR="000F6AF8" w:rsidRPr="000F6AF8" w:rsidRDefault="000F6AF8" w:rsidP="007910F2">
            <w:pPr>
              <w:spacing w:after="0" w:line="240" w:lineRule="auto"/>
              <w:jc w:val="center"/>
              <w:textAlignment w:val="baseline"/>
              <w:rPr>
                <w:rFonts w:asciiTheme="majorBidi" w:eastAsia="Times New Roman" w:hAnsiTheme="majorBidi" w:cstheme="majorBidi"/>
                <w:color w:val="000000"/>
                <w:kern w:val="0"/>
                <w:sz w:val="20"/>
                <w:szCs w:val="20"/>
                <w14:ligatures w14:val="none"/>
              </w:rPr>
            </w:pPr>
            <w:r w:rsidRPr="000F6AF8">
              <w:rPr>
                <w:rFonts w:asciiTheme="majorBidi" w:eastAsia="Times New Roman" w:hAnsiTheme="majorBidi" w:cstheme="majorBidi"/>
                <w:b/>
                <w:bCs/>
                <w:color w:val="000000"/>
                <w:kern w:val="0"/>
                <w:sz w:val="20"/>
                <w:szCs w:val="20"/>
                <w14:ligatures w14:val="none"/>
              </w:rPr>
              <w:t>Observations</w:t>
            </w:r>
            <w:r w:rsidRPr="000F6AF8">
              <w:rPr>
                <w:rFonts w:asciiTheme="majorBidi" w:eastAsia="Times New Roman" w:hAnsiTheme="majorBidi" w:cstheme="majorBidi"/>
                <w:color w:val="000000"/>
                <w:kern w:val="0"/>
                <w:sz w:val="20"/>
                <w:szCs w:val="20"/>
                <w14:ligatures w14:val="none"/>
              </w:rPr>
              <w:t> </w:t>
            </w:r>
          </w:p>
        </w:tc>
      </w:tr>
      <w:tr w:rsidR="000F6AF8" w:rsidRPr="000F6AF8" w14:paraId="11AA7E8C" w14:textId="77777777" w:rsidTr="007910F2">
        <w:trPr>
          <w:trHeight w:val="405"/>
        </w:trPr>
        <w:tc>
          <w:tcPr>
            <w:tcW w:w="6497" w:type="dxa"/>
            <w:gridSpan w:val="4"/>
            <w:tcBorders>
              <w:top w:val="single" w:sz="6" w:space="0" w:color="auto"/>
              <w:left w:val="single" w:sz="6" w:space="0" w:color="auto"/>
              <w:bottom w:val="single" w:sz="6" w:space="0" w:color="auto"/>
              <w:right w:val="nil"/>
            </w:tcBorders>
            <w:vAlign w:val="center"/>
            <w:hideMark/>
          </w:tcPr>
          <w:p w14:paraId="759AF08B"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eastAsia="Times New Roman" w:hAnsiTheme="majorBidi" w:cstheme="majorBidi"/>
                <w:b/>
                <w:bCs/>
                <w:kern w:val="0"/>
                <w:sz w:val="20"/>
                <w:szCs w:val="20"/>
                <w14:ligatures w14:val="none"/>
              </w:rPr>
              <w:t>1. Estimation des salaires du personnel* et des dépenses connexes</w:t>
            </w:r>
            <w:r w:rsidRPr="000F6AF8">
              <w:rPr>
                <w:rFonts w:asciiTheme="majorBidi" w:eastAsia="Times New Roman" w:hAnsiTheme="majorBidi" w:cstheme="majorBidi"/>
                <w:kern w:val="0"/>
                <w:sz w:val="20"/>
                <w:szCs w:val="20"/>
                <w14:ligatures w14:val="none"/>
              </w:rPr>
              <w:t> </w:t>
            </w:r>
          </w:p>
          <w:p w14:paraId="540B05F9"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eastAsia="Times New Roman" w:hAnsiTheme="majorBidi" w:cstheme="majorBidi"/>
                <w:kern w:val="0"/>
                <w:sz w:val="20"/>
                <w:szCs w:val="20"/>
                <w14:ligatures w14:val="none"/>
              </w:rPr>
              <w:t>  </w:t>
            </w:r>
          </w:p>
        </w:tc>
        <w:tc>
          <w:tcPr>
            <w:tcW w:w="778" w:type="dxa"/>
            <w:tcBorders>
              <w:top w:val="single" w:sz="6" w:space="0" w:color="auto"/>
              <w:left w:val="nil"/>
              <w:bottom w:val="single" w:sz="6" w:space="0" w:color="auto"/>
              <w:right w:val="nil"/>
            </w:tcBorders>
            <w:vAlign w:val="bottom"/>
            <w:hideMark/>
          </w:tcPr>
          <w:p w14:paraId="45F0F680"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p>
        </w:tc>
        <w:tc>
          <w:tcPr>
            <w:tcW w:w="1781" w:type="dxa"/>
            <w:tcBorders>
              <w:top w:val="single" w:sz="6" w:space="0" w:color="auto"/>
              <w:left w:val="nil"/>
              <w:bottom w:val="single" w:sz="6" w:space="0" w:color="auto"/>
              <w:right w:val="single" w:sz="6" w:space="0" w:color="auto"/>
            </w:tcBorders>
            <w:vAlign w:val="bottom"/>
            <w:hideMark/>
          </w:tcPr>
          <w:p w14:paraId="482D6C8F"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eastAsia="Times New Roman" w:hAnsiTheme="majorBidi" w:cstheme="majorBidi"/>
                <w:kern w:val="0"/>
                <w:sz w:val="20"/>
                <w:szCs w:val="20"/>
                <w14:ligatures w14:val="none"/>
              </w:rPr>
              <w:t>  </w:t>
            </w:r>
          </w:p>
        </w:tc>
      </w:tr>
      <w:tr w:rsidR="000F6AF8" w:rsidRPr="000F6AF8" w14:paraId="244F0A5D" w14:textId="77777777" w:rsidTr="007910F2">
        <w:trPr>
          <w:trHeight w:val="270"/>
        </w:trPr>
        <w:tc>
          <w:tcPr>
            <w:tcW w:w="3011" w:type="dxa"/>
            <w:tcBorders>
              <w:top w:val="single" w:sz="6" w:space="0" w:color="auto"/>
              <w:left w:val="single" w:sz="6" w:space="0" w:color="auto"/>
              <w:bottom w:val="single" w:sz="6" w:space="0" w:color="auto"/>
              <w:right w:val="single" w:sz="6" w:space="0" w:color="auto"/>
            </w:tcBorders>
            <w:vAlign w:val="center"/>
            <w:hideMark/>
          </w:tcPr>
          <w:p w14:paraId="54C5771B"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Spécialiste social / mobilisation (UGP MEP et SOMELEC)</w:t>
            </w:r>
          </w:p>
        </w:tc>
        <w:tc>
          <w:tcPr>
            <w:tcW w:w="918" w:type="dxa"/>
            <w:tcBorders>
              <w:top w:val="single" w:sz="6" w:space="0" w:color="auto"/>
              <w:left w:val="single" w:sz="6" w:space="0" w:color="auto"/>
              <w:bottom w:val="single" w:sz="6" w:space="0" w:color="auto"/>
              <w:right w:val="single" w:sz="6" w:space="0" w:color="auto"/>
            </w:tcBorders>
            <w:vAlign w:val="center"/>
            <w:hideMark/>
          </w:tcPr>
          <w:p w14:paraId="36773421"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1</w:t>
            </w:r>
          </w:p>
        </w:tc>
        <w:tc>
          <w:tcPr>
            <w:tcW w:w="959" w:type="dxa"/>
            <w:tcBorders>
              <w:top w:val="single" w:sz="6" w:space="0" w:color="auto"/>
              <w:left w:val="single" w:sz="6" w:space="0" w:color="auto"/>
              <w:bottom w:val="single" w:sz="6" w:space="0" w:color="auto"/>
              <w:right w:val="single" w:sz="6" w:space="0" w:color="auto"/>
            </w:tcBorders>
            <w:vAlign w:val="center"/>
            <w:hideMark/>
          </w:tcPr>
          <w:p w14:paraId="1617B05B"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1 500 / mois</w:t>
            </w:r>
          </w:p>
        </w:tc>
        <w:tc>
          <w:tcPr>
            <w:tcW w:w="1609" w:type="dxa"/>
            <w:tcBorders>
              <w:top w:val="single" w:sz="6" w:space="0" w:color="auto"/>
              <w:left w:val="single" w:sz="6" w:space="0" w:color="auto"/>
              <w:bottom w:val="single" w:sz="6" w:space="0" w:color="auto"/>
              <w:right w:val="single" w:sz="6" w:space="0" w:color="auto"/>
            </w:tcBorders>
            <w:vAlign w:val="center"/>
            <w:hideMark/>
          </w:tcPr>
          <w:p w14:paraId="25D548C9"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18 mois</w:t>
            </w:r>
          </w:p>
        </w:tc>
        <w:tc>
          <w:tcPr>
            <w:tcW w:w="778" w:type="dxa"/>
            <w:tcBorders>
              <w:top w:val="single" w:sz="6" w:space="0" w:color="auto"/>
              <w:left w:val="single" w:sz="6" w:space="0" w:color="auto"/>
              <w:bottom w:val="single" w:sz="6" w:space="0" w:color="auto"/>
              <w:right w:val="single" w:sz="6" w:space="0" w:color="auto"/>
            </w:tcBorders>
            <w:vAlign w:val="center"/>
            <w:hideMark/>
          </w:tcPr>
          <w:p w14:paraId="02560391"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27 000</w:t>
            </w:r>
          </w:p>
        </w:tc>
        <w:tc>
          <w:tcPr>
            <w:tcW w:w="1781" w:type="dxa"/>
            <w:tcBorders>
              <w:top w:val="single" w:sz="6" w:space="0" w:color="auto"/>
              <w:left w:val="single" w:sz="6" w:space="0" w:color="auto"/>
              <w:bottom w:val="single" w:sz="6" w:space="0" w:color="auto"/>
              <w:right w:val="single" w:sz="6" w:space="0" w:color="auto"/>
            </w:tcBorders>
            <w:vAlign w:val="center"/>
            <w:hideMark/>
          </w:tcPr>
          <w:p w14:paraId="38D37C29"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Quote-part du temps dédié au PMPP</w:t>
            </w:r>
          </w:p>
        </w:tc>
      </w:tr>
      <w:tr w:rsidR="000F6AF8" w:rsidRPr="000F6AF8" w14:paraId="555021A1" w14:textId="77777777" w:rsidTr="007910F2">
        <w:trPr>
          <w:trHeight w:val="270"/>
        </w:trPr>
        <w:tc>
          <w:tcPr>
            <w:tcW w:w="3011" w:type="dxa"/>
            <w:tcBorders>
              <w:top w:val="single" w:sz="6" w:space="0" w:color="auto"/>
              <w:left w:val="single" w:sz="6" w:space="0" w:color="auto"/>
              <w:bottom w:val="single" w:sz="6" w:space="0" w:color="auto"/>
              <w:right w:val="single" w:sz="6" w:space="0" w:color="auto"/>
            </w:tcBorders>
            <w:vAlign w:val="center"/>
            <w:hideMark/>
          </w:tcPr>
          <w:p w14:paraId="074D579F"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Frais de déplacement du personnel (missions de terrain)</w:t>
            </w:r>
          </w:p>
        </w:tc>
        <w:tc>
          <w:tcPr>
            <w:tcW w:w="918" w:type="dxa"/>
            <w:tcBorders>
              <w:top w:val="single" w:sz="6" w:space="0" w:color="auto"/>
              <w:left w:val="single" w:sz="6" w:space="0" w:color="auto"/>
              <w:bottom w:val="single" w:sz="6" w:space="0" w:color="auto"/>
              <w:right w:val="single" w:sz="6" w:space="0" w:color="auto"/>
            </w:tcBorders>
            <w:vAlign w:val="center"/>
            <w:hideMark/>
          </w:tcPr>
          <w:p w14:paraId="3D272D54"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8</w:t>
            </w:r>
          </w:p>
        </w:tc>
        <w:tc>
          <w:tcPr>
            <w:tcW w:w="959" w:type="dxa"/>
            <w:tcBorders>
              <w:top w:val="single" w:sz="6" w:space="0" w:color="auto"/>
              <w:left w:val="single" w:sz="6" w:space="0" w:color="auto"/>
              <w:bottom w:val="single" w:sz="6" w:space="0" w:color="auto"/>
              <w:right w:val="single" w:sz="6" w:space="0" w:color="auto"/>
            </w:tcBorders>
            <w:vAlign w:val="center"/>
            <w:hideMark/>
          </w:tcPr>
          <w:p w14:paraId="2302BCB2"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500 / mission</w:t>
            </w:r>
          </w:p>
        </w:tc>
        <w:tc>
          <w:tcPr>
            <w:tcW w:w="1609" w:type="dxa"/>
            <w:tcBorders>
              <w:top w:val="single" w:sz="6" w:space="0" w:color="auto"/>
              <w:left w:val="single" w:sz="6" w:space="0" w:color="auto"/>
              <w:bottom w:val="single" w:sz="6" w:space="0" w:color="auto"/>
              <w:right w:val="single" w:sz="6" w:space="0" w:color="auto"/>
            </w:tcBorders>
            <w:vAlign w:val="center"/>
            <w:hideMark/>
          </w:tcPr>
          <w:p w14:paraId="3B0DAF96"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18 mois</w:t>
            </w:r>
          </w:p>
        </w:tc>
        <w:tc>
          <w:tcPr>
            <w:tcW w:w="778" w:type="dxa"/>
            <w:tcBorders>
              <w:top w:val="single" w:sz="6" w:space="0" w:color="auto"/>
              <w:left w:val="single" w:sz="6" w:space="0" w:color="auto"/>
              <w:bottom w:val="single" w:sz="6" w:space="0" w:color="auto"/>
              <w:right w:val="single" w:sz="6" w:space="0" w:color="auto"/>
            </w:tcBorders>
            <w:vAlign w:val="center"/>
            <w:hideMark/>
          </w:tcPr>
          <w:p w14:paraId="1715ECCE"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4 000</w:t>
            </w:r>
          </w:p>
        </w:tc>
        <w:tc>
          <w:tcPr>
            <w:tcW w:w="1781" w:type="dxa"/>
            <w:tcBorders>
              <w:top w:val="single" w:sz="6" w:space="0" w:color="auto"/>
              <w:left w:val="single" w:sz="6" w:space="0" w:color="auto"/>
              <w:bottom w:val="single" w:sz="6" w:space="0" w:color="auto"/>
              <w:right w:val="single" w:sz="6" w:space="0" w:color="auto"/>
            </w:tcBorders>
            <w:vAlign w:val="center"/>
            <w:hideMark/>
          </w:tcPr>
          <w:p w14:paraId="3F2A501C"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Consultations locales et visites de sites</w:t>
            </w:r>
          </w:p>
        </w:tc>
      </w:tr>
      <w:tr w:rsidR="000F6AF8" w:rsidRPr="000F6AF8" w14:paraId="0C3F0FE3" w14:textId="77777777" w:rsidTr="007910F2">
        <w:trPr>
          <w:trHeight w:val="360"/>
        </w:trPr>
        <w:tc>
          <w:tcPr>
            <w:tcW w:w="3011" w:type="dxa"/>
            <w:tcBorders>
              <w:top w:val="single" w:sz="6" w:space="0" w:color="auto"/>
              <w:left w:val="single" w:sz="6" w:space="0" w:color="auto"/>
              <w:bottom w:val="single" w:sz="6" w:space="0" w:color="auto"/>
              <w:right w:val="nil"/>
            </w:tcBorders>
            <w:vAlign w:val="center"/>
            <w:hideMark/>
          </w:tcPr>
          <w:p w14:paraId="7E27070F"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eastAsia="Times New Roman" w:hAnsiTheme="majorBidi" w:cstheme="majorBidi"/>
                <w:b/>
                <w:bCs/>
                <w:kern w:val="0"/>
                <w:sz w:val="20"/>
                <w:szCs w:val="20"/>
                <w14:ligatures w14:val="none"/>
              </w:rPr>
              <w:t>2. Consultations/réunions participatives de planification ou de prise de décision</w:t>
            </w:r>
            <w:r w:rsidRPr="000F6AF8">
              <w:rPr>
                <w:rFonts w:asciiTheme="majorBidi" w:eastAsia="Times New Roman" w:hAnsiTheme="majorBidi" w:cstheme="majorBidi"/>
                <w:kern w:val="0"/>
                <w:sz w:val="20"/>
                <w:szCs w:val="20"/>
                <w14:ligatures w14:val="none"/>
              </w:rPr>
              <w:t> </w:t>
            </w:r>
          </w:p>
        </w:tc>
        <w:tc>
          <w:tcPr>
            <w:tcW w:w="918" w:type="dxa"/>
            <w:tcBorders>
              <w:top w:val="single" w:sz="6" w:space="0" w:color="auto"/>
              <w:left w:val="nil"/>
              <w:bottom w:val="single" w:sz="6" w:space="0" w:color="auto"/>
              <w:right w:val="nil"/>
            </w:tcBorders>
            <w:vAlign w:val="center"/>
            <w:hideMark/>
          </w:tcPr>
          <w:p w14:paraId="3A46C808"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eastAsia="Times New Roman" w:hAnsiTheme="majorBidi" w:cstheme="majorBidi"/>
                <w:kern w:val="0"/>
                <w:sz w:val="20"/>
                <w:szCs w:val="20"/>
                <w14:ligatures w14:val="none"/>
              </w:rPr>
              <w:t>  </w:t>
            </w:r>
          </w:p>
        </w:tc>
        <w:tc>
          <w:tcPr>
            <w:tcW w:w="959" w:type="dxa"/>
            <w:tcBorders>
              <w:top w:val="single" w:sz="6" w:space="0" w:color="auto"/>
              <w:left w:val="nil"/>
              <w:bottom w:val="single" w:sz="6" w:space="0" w:color="auto"/>
              <w:right w:val="nil"/>
            </w:tcBorders>
            <w:vAlign w:val="center"/>
            <w:hideMark/>
          </w:tcPr>
          <w:p w14:paraId="48749EDE"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eastAsia="Times New Roman" w:hAnsiTheme="majorBidi" w:cstheme="majorBidi"/>
                <w:kern w:val="0"/>
                <w:sz w:val="20"/>
                <w:szCs w:val="20"/>
                <w14:ligatures w14:val="none"/>
              </w:rPr>
              <w:t>  </w:t>
            </w:r>
          </w:p>
        </w:tc>
        <w:tc>
          <w:tcPr>
            <w:tcW w:w="1609" w:type="dxa"/>
            <w:tcBorders>
              <w:top w:val="single" w:sz="6" w:space="0" w:color="auto"/>
              <w:left w:val="nil"/>
              <w:bottom w:val="single" w:sz="6" w:space="0" w:color="auto"/>
              <w:right w:val="nil"/>
            </w:tcBorders>
            <w:vAlign w:val="center"/>
          </w:tcPr>
          <w:p w14:paraId="3CFF7AD2"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p>
        </w:tc>
        <w:tc>
          <w:tcPr>
            <w:tcW w:w="778" w:type="dxa"/>
            <w:tcBorders>
              <w:top w:val="single" w:sz="6" w:space="0" w:color="auto"/>
              <w:left w:val="nil"/>
              <w:bottom w:val="single" w:sz="6" w:space="0" w:color="auto"/>
              <w:right w:val="nil"/>
            </w:tcBorders>
            <w:vAlign w:val="center"/>
          </w:tcPr>
          <w:p w14:paraId="3017B1C4"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p>
        </w:tc>
        <w:tc>
          <w:tcPr>
            <w:tcW w:w="1781" w:type="dxa"/>
            <w:tcBorders>
              <w:top w:val="single" w:sz="6" w:space="0" w:color="auto"/>
              <w:left w:val="nil"/>
              <w:bottom w:val="single" w:sz="6" w:space="0" w:color="auto"/>
              <w:right w:val="single" w:sz="6" w:space="0" w:color="auto"/>
            </w:tcBorders>
            <w:vAlign w:val="bottom"/>
            <w:hideMark/>
          </w:tcPr>
          <w:p w14:paraId="180B8020"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eastAsia="Times New Roman" w:hAnsiTheme="majorBidi" w:cstheme="majorBidi"/>
                <w:kern w:val="0"/>
                <w:sz w:val="20"/>
                <w:szCs w:val="20"/>
                <w14:ligatures w14:val="none"/>
              </w:rPr>
              <w:t>  </w:t>
            </w:r>
          </w:p>
        </w:tc>
      </w:tr>
      <w:tr w:rsidR="000F6AF8" w:rsidRPr="000F6AF8" w14:paraId="308B6F51" w14:textId="77777777" w:rsidTr="007910F2">
        <w:trPr>
          <w:trHeight w:val="405"/>
        </w:trPr>
        <w:tc>
          <w:tcPr>
            <w:tcW w:w="3011" w:type="dxa"/>
            <w:tcBorders>
              <w:top w:val="single" w:sz="6" w:space="0" w:color="auto"/>
              <w:left w:val="single" w:sz="6" w:space="0" w:color="auto"/>
              <w:bottom w:val="single" w:sz="6" w:space="0" w:color="auto"/>
              <w:right w:val="single" w:sz="6" w:space="0" w:color="auto"/>
            </w:tcBorders>
            <w:vAlign w:val="bottom"/>
            <w:hideMark/>
          </w:tcPr>
          <w:p w14:paraId="6A513D25"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eastAsia="Times New Roman" w:hAnsiTheme="majorBidi" w:cstheme="majorBidi"/>
                <w:kern w:val="0"/>
                <w:sz w:val="20"/>
                <w:szCs w:val="20"/>
                <w14:ligatures w14:val="none"/>
              </w:rPr>
              <w:lastRenderedPageBreak/>
              <w:t>2a.</w:t>
            </w:r>
            <w:r w:rsidRPr="000F6AF8">
              <w:rPr>
                <w:rFonts w:asciiTheme="majorBidi" w:eastAsia="Times New Roman" w:hAnsiTheme="majorBidi" w:cstheme="majorBidi"/>
                <w:i/>
                <w:iCs/>
                <w:kern w:val="0"/>
                <w:sz w:val="20"/>
                <w:szCs w:val="20"/>
                <w14:ligatures w14:val="none"/>
              </w:rPr>
              <w:t xml:space="preserve"> Ex. : réunions de lancement du projet</w:t>
            </w:r>
            <w:r w:rsidRPr="000F6AF8">
              <w:rPr>
                <w:rFonts w:asciiTheme="majorBidi" w:eastAsia="Times New Roman" w:hAnsiTheme="majorBidi" w:cstheme="majorBidi"/>
                <w:kern w:val="0"/>
                <w:sz w:val="20"/>
                <w:szCs w:val="20"/>
                <w14:ligatures w14:val="none"/>
              </w:rPr>
              <w:t> </w:t>
            </w:r>
          </w:p>
        </w:tc>
        <w:tc>
          <w:tcPr>
            <w:tcW w:w="918" w:type="dxa"/>
            <w:tcBorders>
              <w:top w:val="single" w:sz="6" w:space="0" w:color="auto"/>
              <w:left w:val="single" w:sz="6" w:space="0" w:color="auto"/>
              <w:bottom w:val="single" w:sz="6" w:space="0" w:color="auto"/>
              <w:right w:val="single" w:sz="6" w:space="0" w:color="auto"/>
            </w:tcBorders>
            <w:vAlign w:val="center"/>
            <w:hideMark/>
          </w:tcPr>
          <w:p w14:paraId="49A3B1CC"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4</w:t>
            </w:r>
          </w:p>
        </w:tc>
        <w:tc>
          <w:tcPr>
            <w:tcW w:w="959" w:type="dxa"/>
            <w:tcBorders>
              <w:top w:val="single" w:sz="6" w:space="0" w:color="auto"/>
              <w:left w:val="single" w:sz="6" w:space="0" w:color="auto"/>
              <w:bottom w:val="single" w:sz="6" w:space="0" w:color="auto"/>
              <w:right w:val="single" w:sz="6" w:space="0" w:color="auto"/>
            </w:tcBorders>
            <w:vAlign w:val="center"/>
            <w:hideMark/>
          </w:tcPr>
          <w:p w14:paraId="27E8B488"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3 000 / atelier</w:t>
            </w:r>
          </w:p>
        </w:tc>
        <w:tc>
          <w:tcPr>
            <w:tcW w:w="1609" w:type="dxa"/>
            <w:tcBorders>
              <w:top w:val="single" w:sz="6" w:space="0" w:color="auto"/>
              <w:left w:val="single" w:sz="6" w:space="0" w:color="auto"/>
              <w:bottom w:val="single" w:sz="6" w:space="0" w:color="auto"/>
              <w:right w:val="single" w:sz="6" w:space="0" w:color="auto"/>
            </w:tcBorders>
            <w:vAlign w:val="center"/>
            <w:hideMark/>
          </w:tcPr>
          <w:p w14:paraId="25627B95"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18 mois</w:t>
            </w:r>
          </w:p>
        </w:tc>
        <w:tc>
          <w:tcPr>
            <w:tcW w:w="778" w:type="dxa"/>
            <w:tcBorders>
              <w:top w:val="single" w:sz="6" w:space="0" w:color="auto"/>
              <w:left w:val="single" w:sz="6" w:space="0" w:color="auto"/>
              <w:bottom w:val="single" w:sz="6" w:space="0" w:color="auto"/>
              <w:right w:val="single" w:sz="6" w:space="0" w:color="auto"/>
            </w:tcBorders>
            <w:vAlign w:val="center"/>
            <w:hideMark/>
          </w:tcPr>
          <w:p w14:paraId="4E2BC31E"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12 000</w:t>
            </w:r>
          </w:p>
        </w:tc>
        <w:tc>
          <w:tcPr>
            <w:tcW w:w="1781" w:type="dxa"/>
            <w:tcBorders>
              <w:top w:val="single" w:sz="6" w:space="0" w:color="auto"/>
              <w:left w:val="single" w:sz="6" w:space="0" w:color="auto"/>
              <w:bottom w:val="single" w:sz="6" w:space="0" w:color="auto"/>
              <w:right w:val="single" w:sz="6" w:space="0" w:color="auto"/>
            </w:tcBorders>
            <w:vAlign w:val="center"/>
            <w:hideMark/>
          </w:tcPr>
          <w:p w14:paraId="7FE93461"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Réunions institutionnelles et PTF</w:t>
            </w:r>
          </w:p>
        </w:tc>
      </w:tr>
      <w:tr w:rsidR="000F6AF8" w:rsidRPr="000F6AF8" w14:paraId="0F72785D" w14:textId="77777777" w:rsidTr="007910F2">
        <w:trPr>
          <w:trHeight w:val="405"/>
        </w:trPr>
        <w:tc>
          <w:tcPr>
            <w:tcW w:w="3011" w:type="dxa"/>
            <w:tcBorders>
              <w:top w:val="single" w:sz="6" w:space="0" w:color="auto"/>
              <w:left w:val="single" w:sz="6" w:space="0" w:color="auto"/>
              <w:bottom w:val="single" w:sz="6" w:space="0" w:color="auto"/>
              <w:right w:val="single" w:sz="6" w:space="0" w:color="auto"/>
            </w:tcBorders>
            <w:vAlign w:val="bottom"/>
            <w:hideMark/>
          </w:tcPr>
          <w:p w14:paraId="703A367D"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eastAsia="Times New Roman" w:hAnsiTheme="majorBidi" w:cstheme="majorBidi"/>
                <w:kern w:val="0"/>
                <w:sz w:val="20"/>
                <w:szCs w:val="20"/>
                <w14:ligatures w14:val="none"/>
              </w:rPr>
              <w:t>2b.</w:t>
            </w:r>
            <w:r w:rsidRPr="000F6AF8">
              <w:rPr>
                <w:rFonts w:asciiTheme="majorBidi" w:eastAsia="Times New Roman" w:hAnsiTheme="majorBidi" w:cstheme="majorBidi"/>
                <w:i/>
                <w:iCs/>
                <w:kern w:val="0"/>
                <w:sz w:val="20"/>
                <w:szCs w:val="20"/>
                <w14:ligatures w14:val="none"/>
              </w:rPr>
              <w:t xml:space="preserve"> Ex. : organisation de groupes de discussion</w:t>
            </w:r>
            <w:r w:rsidRPr="000F6AF8">
              <w:rPr>
                <w:rFonts w:asciiTheme="majorBidi" w:eastAsia="Times New Roman" w:hAnsiTheme="majorBidi" w:cstheme="majorBidi"/>
                <w:kern w:val="0"/>
                <w:sz w:val="20"/>
                <w:szCs w:val="20"/>
                <w14:ligatures w14:val="none"/>
              </w:rPr>
              <w:t> </w:t>
            </w:r>
          </w:p>
        </w:tc>
        <w:tc>
          <w:tcPr>
            <w:tcW w:w="918" w:type="dxa"/>
            <w:tcBorders>
              <w:top w:val="single" w:sz="6" w:space="0" w:color="auto"/>
              <w:left w:val="single" w:sz="6" w:space="0" w:color="auto"/>
              <w:bottom w:val="single" w:sz="6" w:space="0" w:color="auto"/>
              <w:right w:val="single" w:sz="6" w:space="0" w:color="auto"/>
            </w:tcBorders>
            <w:vAlign w:val="center"/>
            <w:hideMark/>
          </w:tcPr>
          <w:p w14:paraId="04493EDE"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6</w:t>
            </w:r>
          </w:p>
        </w:tc>
        <w:tc>
          <w:tcPr>
            <w:tcW w:w="959" w:type="dxa"/>
            <w:tcBorders>
              <w:top w:val="single" w:sz="6" w:space="0" w:color="auto"/>
              <w:left w:val="single" w:sz="6" w:space="0" w:color="auto"/>
              <w:bottom w:val="single" w:sz="6" w:space="0" w:color="auto"/>
              <w:right w:val="single" w:sz="6" w:space="0" w:color="auto"/>
            </w:tcBorders>
            <w:vAlign w:val="center"/>
            <w:hideMark/>
          </w:tcPr>
          <w:p w14:paraId="08FD7C08"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1 500 / groupe</w:t>
            </w:r>
          </w:p>
        </w:tc>
        <w:tc>
          <w:tcPr>
            <w:tcW w:w="1609" w:type="dxa"/>
            <w:tcBorders>
              <w:top w:val="single" w:sz="6" w:space="0" w:color="auto"/>
              <w:left w:val="single" w:sz="6" w:space="0" w:color="auto"/>
              <w:bottom w:val="single" w:sz="6" w:space="0" w:color="auto"/>
              <w:right w:val="single" w:sz="6" w:space="0" w:color="auto"/>
            </w:tcBorders>
            <w:vAlign w:val="center"/>
            <w:hideMark/>
          </w:tcPr>
          <w:p w14:paraId="7F8BE6EA"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18 mois</w:t>
            </w:r>
          </w:p>
        </w:tc>
        <w:tc>
          <w:tcPr>
            <w:tcW w:w="778" w:type="dxa"/>
            <w:tcBorders>
              <w:top w:val="single" w:sz="6" w:space="0" w:color="auto"/>
              <w:left w:val="single" w:sz="6" w:space="0" w:color="auto"/>
              <w:bottom w:val="single" w:sz="6" w:space="0" w:color="auto"/>
              <w:right w:val="single" w:sz="6" w:space="0" w:color="auto"/>
            </w:tcBorders>
            <w:vAlign w:val="center"/>
            <w:hideMark/>
          </w:tcPr>
          <w:p w14:paraId="35269F10"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9 000</w:t>
            </w:r>
          </w:p>
        </w:tc>
        <w:tc>
          <w:tcPr>
            <w:tcW w:w="1781" w:type="dxa"/>
            <w:tcBorders>
              <w:top w:val="single" w:sz="6" w:space="0" w:color="auto"/>
              <w:left w:val="single" w:sz="6" w:space="0" w:color="auto"/>
              <w:bottom w:val="single" w:sz="6" w:space="0" w:color="auto"/>
              <w:right w:val="single" w:sz="6" w:space="0" w:color="auto"/>
            </w:tcBorders>
            <w:vAlign w:val="center"/>
            <w:hideMark/>
          </w:tcPr>
          <w:p w14:paraId="25B0ECA0"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Consultations risques climatiques et transition juste</w:t>
            </w:r>
          </w:p>
        </w:tc>
      </w:tr>
      <w:tr w:rsidR="000F6AF8" w:rsidRPr="000F6AF8" w14:paraId="26F96EE4" w14:textId="77777777" w:rsidTr="007910F2">
        <w:trPr>
          <w:trHeight w:val="465"/>
        </w:trPr>
        <w:tc>
          <w:tcPr>
            <w:tcW w:w="3011" w:type="dxa"/>
            <w:tcBorders>
              <w:top w:val="single" w:sz="6" w:space="0" w:color="auto"/>
              <w:left w:val="single" w:sz="6" w:space="0" w:color="auto"/>
              <w:bottom w:val="single" w:sz="6" w:space="0" w:color="auto"/>
              <w:right w:val="nil"/>
            </w:tcBorders>
            <w:vAlign w:val="center"/>
            <w:hideMark/>
          </w:tcPr>
          <w:p w14:paraId="35805124"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eastAsia="Times New Roman" w:hAnsiTheme="majorBidi" w:cstheme="majorBidi"/>
                <w:b/>
                <w:bCs/>
                <w:kern w:val="0"/>
                <w:sz w:val="20"/>
                <w:szCs w:val="20"/>
                <w14:ligatures w14:val="none"/>
              </w:rPr>
              <w:t>3. Campagnes de communication</w:t>
            </w:r>
            <w:r w:rsidRPr="000F6AF8">
              <w:rPr>
                <w:rFonts w:asciiTheme="majorBidi" w:eastAsia="Times New Roman" w:hAnsiTheme="majorBidi" w:cstheme="majorBidi"/>
                <w:kern w:val="0"/>
                <w:sz w:val="20"/>
                <w:szCs w:val="20"/>
                <w14:ligatures w14:val="none"/>
              </w:rPr>
              <w:t> </w:t>
            </w:r>
          </w:p>
        </w:tc>
        <w:tc>
          <w:tcPr>
            <w:tcW w:w="918" w:type="dxa"/>
            <w:tcBorders>
              <w:top w:val="single" w:sz="6" w:space="0" w:color="auto"/>
              <w:left w:val="nil"/>
              <w:bottom w:val="single" w:sz="6" w:space="0" w:color="auto"/>
              <w:right w:val="nil"/>
            </w:tcBorders>
            <w:vAlign w:val="center"/>
            <w:hideMark/>
          </w:tcPr>
          <w:p w14:paraId="16B5A540"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eastAsia="Times New Roman" w:hAnsiTheme="majorBidi" w:cstheme="majorBidi"/>
                <w:b/>
                <w:bCs/>
                <w:kern w:val="0"/>
                <w:sz w:val="20"/>
                <w:szCs w:val="20"/>
                <w14:ligatures w14:val="none"/>
              </w:rPr>
              <w:t> </w:t>
            </w:r>
            <w:r w:rsidRPr="000F6AF8">
              <w:rPr>
                <w:rFonts w:asciiTheme="majorBidi" w:eastAsia="Times New Roman" w:hAnsiTheme="majorBidi" w:cstheme="majorBidi"/>
                <w:kern w:val="0"/>
                <w:sz w:val="20"/>
                <w:szCs w:val="20"/>
                <w14:ligatures w14:val="none"/>
              </w:rPr>
              <w:t> </w:t>
            </w:r>
          </w:p>
        </w:tc>
        <w:tc>
          <w:tcPr>
            <w:tcW w:w="959" w:type="dxa"/>
            <w:tcBorders>
              <w:top w:val="single" w:sz="6" w:space="0" w:color="auto"/>
              <w:left w:val="nil"/>
              <w:bottom w:val="single" w:sz="6" w:space="0" w:color="auto"/>
              <w:right w:val="nil"/>
            </w:tcBorders>
            <w:vAlign w:val="center"/>
            <w:hideMark/>
          </w:tcPr>
          <w:p w14:paraId="5191538D"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eastAsia="Times New Roman" w:hAnsiTheme="majorBidi" w:cstheme="majorBidi"/>
                <w:b/>
                <w:bCs/>
                <w:kern w:val="0"/>
                <w:sz w:val="20"/>
                <w:szCs w:val="20"/>
                <w14:ligatures w14:val="none"/>
              </w:rPr>
              <w:t> </w:t>
            </w:r>
            <w:r w:rsidRPr="000F6AF8">
              <w:rPr>
                <w:rFonts w:asciiTheme="majorBidi" w:eastAsia="Times New Roman" w:hAnsiTheme="majorBidi" w:cstheme="majorBidi"/>
                <w:kern w:val="0"/>
                <w:sz w:val="20"/>
                <w:szCs w:val="20"/>
                <w14:ligatures w14:val="none"/>
              </w:rPr>
              <w:t> </w:t>
            </w:r>
          </w:p>
        </w:tc>
        <w:tc>
          <w:tcPr>
            <w:tcW w:w="1609" w:type="dxa"/>
            <w:tcBorders>
              <w:top w:val="single" w:sz="6" w:space="0" w:color="auto"/>
              <w:left w:val="nil"/>
              <w:bottom w:val="single" w:sz="6" w:space="0" w:color="auto"/>
              <w:right w:val="nil"/>
            </w:tcBorders>
            <w:vAlign w:val="center"/>
            <w:hideMark/>
          </w:tcPr>
          <w:p w14:paraId="4F3F371E"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eastAsia="Times New Roman" w:hAnsiTheme="majorBidi" w:cstheme="majorBidi"/>
                <w:b/>
                <w:bCs/>
                <w:kern w:val="0"/>
                <w:sz w:val="20"/>
                <w:szCs w:val="20"/>
                <w14:ligatures w14:val="none"/>
              </w:rPr>
              <w:t> </w:t>
            </w:r>
            <w:r w:rsidRPr="000F6AF8">
              <w:rPr>
                <w:rFonts w:asciiTheme="majorBidi" w:eastAsia="Times New Roman" w:hAnsiTheme="majorBidi" w:cstheme="majorBidi"/>
                <w:kern w:val="0"/>
                <w:sz w:val="20"/>
                <w:szCs w:val="20"/>
                <w14:ligatures w14:val="none"/>
              </w:rPr>
              <w:t> </w:t>
            </w:r>
          </w:p>
        </w:tc>
        <w:tc>
          <w:tcPr>
            <w:tcW w:w="778" w:type="dxa"/>
            <w:tcBorders>
              <w:top w:val="single" w:sz="6" w:space="0" w:color="auto"/>
              <w:left w:val="nil"/>
              <w:bottom w:val="single" w:sz="6" w:space="0" w:color="auto"/>
              <w:right w:val="nil"/>
            </w:tcBorders>
            <w:vAlign w:val="bottom"/>
            <w:hideMark/>
          </w:tcPr>
          <w:p w14:paraId="47324D25"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eastAsia="Times New Roman" w:hAnsiTheme="majorBidi" w:cstheme="majorBidi"/>
                <w:b/>
                <w:bCs/>
                <w:kern w:val="0"/>
                <w:sz w:val="20"/>
                <w:szCs w:val="20"/>
                <w14:ligatures w14:val="none"/>
              </w:rPr>
              <w:t> </w:t>
            </w:r>
            <w:r w:rsidRPr="000F6AF8">
              <w:rPr>
                <w:rFonts w:asciiTheme="majorBidi" w:eastAsia="Times New Roman" w:hAnsiTheme="majorBidi" w:cstheme="majorBidi"/>
                <w:kern w:val="0"/>
                <w:sz w:val="20"/>
                <w:szCs w:val="20"/>
                <w14:ligatures w14:val="none"/>
              </w:rPr>
              <w:t> </w:t>
            </w:r>
          </w:p>
        </w:tc>
        <w:tc>
          <w:tcPr>
            <w:tcW w:w="1781" w:type="dxa"/>
            <w:tcBorders>
              <w:top w:val="single" w:sz="6" w:space="0" w:color="auto"/>
              <w:left w:val="nil"/>
              <w:bottom w:val="single" w:sz="6" w:space="0" w:color="auto"/>
              <w:right w:val="single" w:sz="6" w:space="0" w:color="auto"/>
            </w:tcBorders>
            <w:vAlign w:val="bottom"/>
            <w:hideMark/>
          </w:tcPr>
          <w:p w14:paraId="6FC656B6"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eastAsia="Times New Roman" w:hAnsiTheme="majorBidi" w:cstheme="majorBidi"/>
                <w:b/>
                <w:bCs/>
                <w:kern w:val="0"/>
                <w:sz w:val="20"/>
                <w:szCs w:val="20"/>
                <w14:ligatures w14:val="none"/>
              </w:rPr>
              <w:t> </w:t>
            </w:r>
            <w:r w:rsidRPr="000F6AF8">
              <w:rPr>
                <w:rFonts w:asciiTheme="majorBidi" w:eastAsia="Times New Roman" w:hAnsiTheme="majorBidi" w:cstheme="majorBidi"/>
                <w:kern w:val="0"/>
                <w:sz w:val="20"/>
                <w:szCs w:val="20"/>
                <w14:ligatures w14:val="none"/>
              </w:rPr>
              <w:t> </w:t>
            </w:r>
          </w:p>
        </w:tc>
      </w:tr>
      <w:tr w:rsidR="000F6AF8" w:rsidRPr="000F6AF8" w14:paraId="76CEE647" w14:textId="77777777" w:rsidTr="007910F2">
        <w:trPr>
          <w:trHeight w:val="405"/>
        </w:trPr>
        <w:tc>
          <w:tcPr>
            <w:tcW w:w="3011" w:type="dxa"/>
            <w:tcBorders>
              <w:top w:val="single" w:sz="6" w:space="0" w:color="auto"/>
              <w:left w:val="single" w:sz="6" w:space="0" w:color="auto"/>
              <w:bottom w:val="single" w:sz="6" w:space="0" w:color="auto"/>
              <w:right w:val="single" w:sz="6" w:space="0" w:color="auto"/>
            </w:tcBorders>
            <w:vAlign w:val="bottom"/>
            <w:hideMark/>
          </w:tcPr>
          <w:p w14:paraId="4A1FF486"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eastAsia="Times New Roman" w:hAnsiTheme="majorBidi" w:cstheme="majorBidi"/>
                <w:kern w:val="0"/>
                <w:sz w:val="20"/>
                <w:szCs w:val="20"/>
                <w14:ligatures w14:val="none"/>
              </w:rPr>
              <w:t>3a.</w:t>
            </w:r>
            <w:r w:rsidRPr="000F6AF8">
              <w:rPr>
                <w:rFonts w:asciiTheme="majorBidi" w:eastAsia="Times New Roman" w:hAnsiTheme="majorBidi" w:cstheme="majorBidi"/>
                <w:i/>
                <w:iCs/>
                <w:kern w:val="0"/>
                <w:sz w:val="20"/>
                <w:szCs w:val="20"/>
                <w14:ligatures w14:val="none"/>
              </w:rPr>
              <w:t xml:space="preserve"> Ex. : affiches, dépliants</w:t>
            </w:r>
            <w:r w:rsidRPr="000F6AF8">
              <w:rPr>
                <w:rFonts w:asciiTheme="majorBidi" w:eastAsia="Times New Roman" w:hAnsiTheme="majorBidi" w:cstheme="majorBidi"/>
                <w:kern w:val="0"/>
                <w:sz w:val="20"/>
                <w:szCs w:val="20"/>
                <w14:ligatures w14:val="none"/>
              </w:rPr>
              <w:t> </w:t>
            </w:r>
          </w:p>
        </w:tc>
        <w:tc>
          <w:tcPr>
            <w:tcW w:w="918" w:type="dxa"/>
            <w:tcBorders>
              <w:top w:val="single" w:sz="6" w:space="0" w:color="auto"/>
              <w:left w:val="single" w:sz="6" w:space="0" w:color="auto"/>
              <w:bottom w:val="single" w:sz="6" w:space="0" w:color="auto"/>
              <w:right w:val="single" w:sz="6" w:space="0" w:color="auto"/>
            </w:tcBorders>
            <w:vAlign w:val="center"/>
            <w:hideMark/>
          </w:tcPr>
          <w:p w14:paraId="46F48E66"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1</w:t>
            </w:r>
          </w:p>
        </w:tc>
        <w:tc>
          <w:tcPr>
            <w:tcW w:w="959" w:type="dxa"/>
            <w:tcBorders>
              <w:top w:val="single" w:sz="6" w:space="0" w:color="auto"/>
              <w:left w:val="single" w:sz="6" w:space="0" w:color="auto"/>
              <w:bottom w:val="single" w:sz="6" w:space="0" w:color="auto"/>
              <w:right w:val="single" w:sz="6" w:space="0" w:color="auto"/>
            </w:tcBorders>
            <w:vAlign w:val="center"/>
            <w:hideMark/>
          </w:tcPr>
          <w:p w14:paraId="2F07B11A"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3 000 / forfait</w:t>
            </w:r>
          </w:p>
        </w:tc>
        <w:tc>
          <w:tcPr>
            <w:tcW w:w="1609" w:type="dxa"/>
            <w:tcBorders>
              <w:top w:val="single" w:sz="6" w:space="0" w:color="auto"/>
              <w:left w:val="single" w:sz="6" w:space="0" w:color="auto"/>
              <w:bottom w:val="single" w:sz="6" w:space="0" w:color="auto"/>
              <w:right w:val="single" w:sz="6" w:space="0" w:color="auto"/>
            </w:tcBorders>
            <w:vAlign w:val="center"/>
            <w:hideMark/>
          </w:tcPr>
          <w:p w14:paraId="55220850"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18 mois</w:t>
            </w:r>
          </w:p>
        </w:tc>
        <w:tc>
          <w:tcPr>
            <w:tcW w:w="778" w:type="dxa"/>
            <w:tcBorders>
              <w:top w:val="single" w:sz="6" w:space="0" w:color="auto"/>
              <w:left w:val="single" w:sz="6" w:space="0" w:color="auto"/>
              <w:bottom w:val="single" w:sz="6" w:space="0" w:color="auto"/>
              <w:right w:val="single" w:sz="6" w:space="0" w:color="auto"/>
            </w:tcBorders>
            <w:vAlign w:val="center"/>
            <w:hideMark/>
          </w:tcPr>
          <w:p w14:paraId="15A5C50C"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3 000</w:t>
            </w:r>
          </w:p>
        </w:tc>
        <w:tc>
          <w:tcPr>
            <w:tcW w:w="1781" w:type="dxa"/>
            <w:tcBorders>
              <w:top w:val="single" w:sz="6" w:space="0" w:color="auto"/>
              <w:left w:val="single" w:sz="6" w:space="0" w:color="auto"/>
              <w:bottom w:val="single" w:sz="6" w:space="0" w:color="auto"/>
              <w:right w:val="single" w:sz="6" w:space="0" w:color="auto"/>
            </w:tcBorders>
            <w:vAlign w:val="center"/>
            <w:hideMark/>
          </w:tcPr>
          <w:p w14:paraId="13852AFD"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Supports d'information sur les instruments E&amp;S</w:t>
            </w:r>
          </w:p>
        </w:tc>
      </w:tr>
      <w:tr w:rsidR="000F6AF8" w:rsidRPr="000F6AF8" w14:paraId="0D6A6F82" w14:textId="77777777" w:rsidTr="007910F2">
        <w:trPr>
          <w:trHeight w:val="465"/>
        </w:trPr>
        <w:tc>
          <w:tcPr>
            <w:tcW w:w="3011" w:type="dxa"/>
            <w:tcBorders>
              <w:top w:val="single" w:sz="6" w:space="0" w:color="auto"/>
              <w:left w:val="single" w:sz="6" w:space="0" w:color="auto"/>
              <w:bottom w:val="single" w:sz="6" w:space="0" w:color="auto"/>
              <w:right w:val="nil"/>
            </w:tcBorders>
            <w:vAlign w:val="center"/>
            <w:hideMark/>
          </w:tcPr>
          <w:p w14:paraId="7A651EBC"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eastAsia="Times New Roman" w:hAnsiTheme="majorBidi" w:cstheme="majorBidi"/>
                <w:b/>
                <w:bCs/>
                <w:kern w:val="0"/>
                <w:sz w:val="20"/>
                <w:szCs w:val="20"/>
                <w14:ligatures w14:val="none"/>
              </w:rPr>
              <w:t>4. Formations </w:t>
            </w:r>
            <w:r w:rsidRPr="000F6AF8">
              <w:rPr>
                <w:rFonts w:asciiTheme="majorBidi" w:eastAsia="Times New Roman" w:hAnsiTheme="majorBidi" w:cstheme="majorBidi"/>
                <w:kern w:val="0"/>
                <w:sz w:val="20"/>
                <w:szCs w:val="20"/>
                <w14:ligatures w14:val="none"/>
              </w:rPr>
              <w:t> </w:t>
            </w:r>
          </w:p>
        </w:tc>
        <w:tc>
          <w:tcPr>
            <w:tcW w:w="918" w:type="dxa"/>
            <w:tcBorders>
              <w:top w:val="single" w:sz="6" w:space="0" w:color="auto"/>
              <w:left w:val="nil"/>
              <w:bottom w:val="single" w:sz="6" w:space="0" w:color="auto"/>
              <w:right w:val="nil"/>
            </w:tcBorders>
            <w:vAlign w:val="center"/>
            <w:hideMark/>
          </w:tcPr>
          <w:p w14:paraId="145916B3"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eastAsia="Times New Roman" w:hAnsiTheme="majorBidi" w:cstheme="majorBidi"/>
                <w:b/>
                <w:bCs/>
                <w:kern w:val="0"/>
                <w:sz w:val="20"/>
                <w:szCs w:val="20"/>
                <w14:ligatures w14:val="none"/>
              </w:rPr>
              <w:t> </w:t>
            </w:r>
            <w:r w:rsidRPr="000F6AF8">
              <w:rPr>
                <w:rFonts w:asciiTheme="majorBidi" w:eastAsia="Times New Roman" w:hAnsiTheme="majorBidi" w:cstheme="majorBidi"/>
                <w:kern w:val="0"/>
                <w:sz w:val="20"/>
                <w:szCs w:val="20"/>
                <w14:ligatures w14:val="none"/>
              </w:rPr>
              <w:t> </w:t>
            </w:r>
          </w:p>
        </w:tc>
        <w:tc>
          <w:tcPr>
            <w:tcW w:w="959" w:type="dxa"/>
            <w:tcBorders>
              <w:top w:val="single" w:sz="6" w:space="0" w:color="auto"/>
              <w:left w:val="nil"/>
              <w:bottom w:val="single" w:sz="6" w:space="0" w:color="auto"/>
              <w:right w:val="nil"/>
            </w:tcBorders>
            <w:vAlign w:val="center"/>
            <w:hideMark/>
          </w:tcPr>
          <w:p w14:paraId="38C88301"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eastAsia="Times New Roman" w:hAnsiTheme="majorBidi" w:cstheme="majorBidi"/>
                <w:b/>
                <w:bCs/>
                <w:kern w:val="0"/>
                <w:sz w:val="20"/>
                <w:szCs w:val="20"/>
                <w14:ligatures w14:val="none"/>
              </w:rPr>
              <w:t> </w:t>
            </w:r>
            <w:r w:rsidRPr="000F6AF8">
              <w:rPr>
                <w:rFonts w:asciiTheme="majorBidi" w:eastAsia="Times New Roman" w:hAnsiTheme="majorBidi" w:cstheme="majorBidi"/>
                <w:kern w:val="0"/>
                <w:sz w:val="20"/>
                <w:szCs w:val="20"/>
                <w14:ligatures w14:val="none"/>
              </w:rPr>
              <w:t> </w:t>
            </w:r>
          </w:p>
        </w:tc>
        <w:tc>
          <w:tcPr>
            <w:tcW w:w="1609" w:type="dxa"/>
            <w:tcBorders>
              <w:top w:val="single" w:sz="6" w:space="0" w:color="auto"/>
              <w:left w:val="nil"/>
              <w:bottom w:val="single" w:sz="6" w:space="0" w:color="auto"/>
              <w:right w:val="nil"/>
            </w:tcBorders>
            <w:vAlign w:val="center"/>
            <w:hideMark/>
          </w:tcPr>
          <w:p w14:paraId="7F569D1E"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eastAsia="Times New Roman" w:hAnsiTheme="majorBidi" w:cstheme="majorBidi"/>
                <w:b/>
                <w:bCs/>
                <w:kern w:val="0"/>
                <w:sz w:val="20"/>
                <w:szCs w:val="20"/>
                <w14:ligatures w14:val="none"/>
              </w:rPr>
              <w:t> </w:t>
            </w:r>
            <w:r w:rsidRPr="000F6AF8">
              <w:rPr>
                <w:rFonts w:asciiTheme="majorBidi" w:eastAsia="Times New Roman" w:hAnsiTheme="majorBidi" w:cstheme="majorBidi"/>
                <w:kern w:val="0"/>
                <w:sz w:val="20"/>
                <w:szCs w:val="20"/>
                <w14:ligatures w14:val="none"/>
              </w:rPr>
              <w:t> </w:t>
            </w:r>
          </w:p>
        </w:tc>
        <w:tc>
          <w:tcPr>
            <w:tcW w:w="778" w:type="dxa"/>
            <w:tcBorders>
              <w:top w:val="single" w:sz="6" w:space="0" w:color="auto"/>
              <w:left w:val="nil"/>
              <w:bottom w:val="single" w:sz="6" w:space="0" w:color="auto"/>
              <w:right w:val="nil"/>
            </w:tcBorders>
            <w:vAlign w:val="bottom"/>
            <w:hideMark/>
          </w:tcPr>
          <w:p w14:paraId="38D68D59"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eastAsia="Times New Roman" w:hAnsiTheme="majorBidi" w:cstheme="majorBidi"/>
                <w:b/>
                <w:bCs/>
                <w:kern w:val="0"/>
                <w:sz w:val="20"/>
                <w:szCs w:val="20"/>
                <w14:ligatures w14:val="none"/>
              </w:rPr>
              <w:t> </w:t>
            </w:r>
            <w:r w:rsidRPr="000F6AF8">
              <w:rPr>
                <w:rFonts w:asciiTheme="majorBidi" w:eastAsia="Times New Roman" w:hAnsiTheme="majorBidi" w:cstheme="majorBidi"/>
                <w:kern w:val="0"/>
                <w:sz w:val="20"/>
                <w:szCs w:val="20"/>
                <w14:ligatures w14:val="none"/>
              </w:rPr>
              <w:t> </w:t>
            </w:r>
          </w:p>
        </w:tc>
        <w:tc>
          <w:tcPr>
            <w:tcW w:w="1781" w:type="dxa"/>
            <w:tcBorders>
              <w:top w:val="single" w:sz="6" w:space="0" w:color="auto"/>
              <w:left w:val="nil"/>
              <w:bottom w:val="single" w:sz="6" w:space="0" w:color="auto"/>
              <w:right w:val="single" w:sz="6" w:space="0" w:color="auto"/>
            </w:tcBorders>
            <w:vAlign w:val="bottom"/>
            <w:hideMark/>
          </w:tcPr>
          <w:p w14:paraId="19F95624"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eastAsia="Times New Roman" w:hAnsiTheme="majorBidi" w:cstheme="majorBidi"/>
                <w:b/>
                <w:bCs/>
                <w:kern w:val="0"/>
                <w:sz w:val="20"/>
                <w:szCs w:val="20"/>
                <w14:ligatures w14:val="none"/>
              </w:rPr>
              <w:t> </w:t>
            </w:r>
            <w:r w:rsidRPr="000F6AF8">
              <w:rPr>
                <w:rFonts w:asciiTheme="majorBidi" w:eastAsia="Times New Roman" w:hAnsiTheme="majorBidi" w:cstheme="majorBidi"/>
                <w:kern w:val="0"/>
                <w:sz w:val="20"/>
                <w:szCs w:val="20"/>
                <w14:ligatures w14:val="none"/>
              </w:rPr>
              <w:t> </w:t>
            </w:r>
          </w:p>
        </w:tc>
      </w:tr>
      <w:tr w:rsidR="000F6AF8" w:rsidRPr="000F6AF8" w14:paraId="6CC30898" w14:textId="77777777" w:rsidTr="007910F2">
        <w:trPr>
          <w:trHeight w:val="450"/>
        </w:trPr>
        <w:tc>
          <w:tcPr>
            <w:tcW w:w="3011" w:type="dxa"/>
            <w:tcBorders>
              <w:top w:val="single" w:sz="6" w:space="0" w:color="auto"/>
              <w:left w:val="single" w:sz="6" w:space="0" w:color="auto"/>
              <w:bottom w:val="single" w:sz="6" w:space="0" w:color="auto"/>
              <w:right w:val="single" w:sz="6" w:space="0" w:color="auto"/>
            </w:tcBorders>
            <w:vAlign w:val="center"/>
            <w:hideMark/>
          </w:tcPr>
          <w:p w14:paraId="47448C31"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Formation E&amp;S pour le personnel des UGP et parties prenantes</w:t>
            </w:r>
          </w:p>
        </w:tc>
        <w:tc>
          <w:tcPr>
            <w:tcW w:w="918" w:type="dxa"/>
            <w:tcBorders>
              <w:top w:val="single" w:sz="6" w:space="0" w:color="auto"/>
              <w:left w:val="single" w:sz="6" w:space="0" w:color="auto"/>
              <w:bottom w:val="single" w:sz="6" w:space="0" w:color="auto"/>
              <w:right w:val="single" w:sz="6" w:space="0" w:color="auto"/>
            </w:tcBorders>
            <w:vAlign w:val="center"/>
            <w:hideMark/>
          </w:tcPr>
          <w:p w14:paraId="2BC315F5"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2</w:t>
            </w:r>
          </w:p>
        </w:tc>
        <w:tc>
          <w:tcPr>
            <w:tcW w:w="959" w:type="dxa"/>
            <w:tcBorders>
              <w:top w:val="single" w:sz="6" w:space="0" w:color="auto"/>
              <w:left w:val="single" w:sz="6" w:space="0" w:color="auto"/>
              <w:bottom w:val="single" w:sz="6" w:space="0" w:color="auto"/>
              <w:right w:val="single" w:sz="6" w:space="0" w:color="auto"/>
            </w:tcBorders>
            <w:vAlign w:val="center"/>
            <w:hideMark/>
          </w:tcPr>
          <w:p w14:paraId="762E2FE4"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5 000 / session</w:t>
            </w:r>
          </w:p>
        </w:tc>
        <w:tc>
          <w:tcPr>
            <w:tcW w:w="1609" w:type="dxa"/>
            <w:tcBorders>
              <w:top w:val="single" w:sz="6" w:space="0" w:color="auto"/>
              <w:left w:val="single" w:sz="6" w:space="0" w:color="auto"/>
              <w:bottom w:val="single" w:sz="6" w:space="0" w:color="auto"/>
              <w:right w:val="single" w:sz="6" w:space="0" w:color="auto"/>
            </w:tcBorders>
            <w:vAlign w:val="center"/>
            <w:hideMark/>
          </w:tcPr>
          <w:p w14:paraId="64F04080"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18 mois</w:t>
            </w:r>
          </w:p>
        </w:tc>
        <w:tc>
          <w:tcPr>
            <w:tcW w:w="778" w:type="dxa"/>
            <w:tcBorders>
              <w:top w:val="single" w:sz="6" w:space="0" w:color="auto"/>
              <w:left w:val="single" w:sz="6" w:space="0" w:color="auto"/>
              <w:bottom w:val="single" w:sz="6" w:space="0" w:color="auto"/>
              <w:right w:val="single" w:sz="6" w:space="0" w:color="auto"/>
            </w:tcBorders>
            <w:vAlign w:val="center"/>
            <w:hideMark/>
          </w:tcPr>
          <w:p w14:paraId="6FE7664F"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10 000</w:t>
            </w:r>
          </w:p>
        </w:tc>
        <w:tc>
          <w:tcPr>
            <w:tcW w:w="1781" w:type="dxa"/>
            <w:tcBorders>
              <w:top w:val="single" w:sz="6" w:space="0" w:color="auto"/>
              <w:left w:val="single" w:sz="6" w:space="0" w:color="auto"/>
              <w:bottom w:val="single" w:sz="6" w:space="0" w:color="auto"/>
              <w:right w:val="single" w:sz="6" w:space="0" w:color="auto"/>
            </w:tcBorders>
            <w:vAlign w:val="center"/>
            <w:hideMark/>
          </w:tcPr>
          <w:p w14:paraId="1B4CCF8D"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Cadre E&amp;S de la BM, normes, ESIRT</w:t>
            </w:r>
          </w:p>
        </w:tc>
      </w:tr>
      <w:tr w:rsidR="000F6AF8" w:rsidRPr="000F6AF8" w14:paraId="0F58ACFC" w14:textId="77777777" w:rsidTr="007910F2">
        <w:trPr>
          <w:trHeight w:val="450"/>
        </w:trPr>
        <w:tc>
          <w:tcPr>
            <w:tcW w:w="3011" w:type="dxa"/>
            <w:tcBorders>
              <w:top w:val="single" w:sz="6" w:space="0" w:color="auto"/>
              <w:left w:val="single" w:sz="6" w:space="0" w:color="auto"/>
              <w:bottom w:val="single" w:sz="6" w:space="0" w:color="auto"/>
              <w:right w:val="single" w:sz="6" w:space="0" w:color="auto"/>
            </w:tcBorders>
            <w:vAlign w:val="center"/>
            <w:hideMark/>
          </w:tcPr>
          <w:p w14:paraId="112DAE27"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Formation sur les violences à caractère sexiste (VBG/EAS/HS)</w:t>
            </w:r>
          </w:p>
        </w:tc>
        <w:tc>
          <w:tcPr>
            <w:tcW w:w="918" w:type="dxa"/>
            <w:tcBorders>
              <w:top w:val="single" w:sz="6" w:space="0" w:color="auto"/>
              <w:left w:val="single" w:sz="6" w:space="0" w:color="auto"/>
              <w:bottom w:val="single" w:sz="6" w:space="0" w:color="auto"/>
              <w:right w:val="single" w:sz="6" w:space="0" w:color="auto"/>
            </w:tcBorders>
            <w:vAlign w:val="center"/>
            <w:hideMark/>
          </w:tcPr>
          <w:p w14:paraId="207EB642"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1</w:t>
            </w:r>
          </w:p>
        </w:tc>
        <w:tc>
          <w:tcPr>
            <w:tcW w:w="959" w:type="dxa"/>
            <w:tcBorders>
              <w:top w:val="single" w:sz="6" w:space="0" w:color="auto"/>
              <w:left w:val="single" w:sz="6" w:space="0" w:color="auto"/>
              <w:bottom w:val="single" w:sz="6" w:space="0" w:color="auto"/>
              <w:right w:val="single" w:sz="6" w:space="0" w:color="auto"/>
            </w:tcBorders>
            <w:vAlign w:val="center"/>
            <w:hideMark/>
          </w:tcPr>
          <w:p w14:paraId="3822BC46"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5 000 / session</w:t>
            </w:r>
          </w:p>
        </w:tc>
        <w:tc>
          <w:tcPr>
            <w:tcW w:w="1609" w:type="dxa"/>
            <w:tcBorders>
              <w:top w:val="single" w:sz="6" w:space="0" w:color="auto"/>
              <w:left w:val="single" w:sz="6" w:space="0" w:color="auto"/>
              <w:bottom w:val="single" w:sz="6" w:space="0" w:color="auto"/>
              <w:right w:val="single" w:sz="6" w:space="0" w:color="auto"/>
            </w:tcBorders>
            <w:vAlign w:val="center"/>
            <w:hideMark/>
          </w:tcPr>
          <w:p w14:paraId="279D890C"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18 mois</w:t>
            </w:r>
          </w:p>
        </w:tc>
        <w:tc>
          <w:tcPr>
            <w:tcW w:w="778" w:type="dxa"/>
            <w:tcBorders>
              <w:top w:val="single" w:sz="6" w:space="0" w:color="auto"/>
              <w:left w:val="single" w:sz="6" w:space="0" w:color="auto"/>
              <w:bottom w:val="single" w:sz="6" w:space="0" w:color="auto"/>
              <w:right w:val="single" w:sz="6" w:space="0" w:color="auto"/>
            </w:tcBorders>
            <w:vAlign w:val="center"/>
            <w:hideMark/>
          </w:tcPr>
          <w:p w14:paraId="619F4D00"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5 000</w:t>
            </w:r>
          </w:p>
        </w:tc>
        <w:tc>
          <w:tcPr>
            <w:tcW w:w="1781" w:type="dxa"/>
            <w:tcBorders>
              <w:top w:val="single" w:sz="6" w:space="0" w:color="auto"/>
              <w:left w:val="single" w:sz="6" w:space="0" w:color="auto"/>
              <w:bottom w:val="single" w:sz="6" w:space="0" w:color="auto"/>
              <w:right w:val="single" w:sz="6" w:space="0" w:color="auto"/>
            </w:tcBorders>
            <w:vAlign w:val="center"/>
            <w:hideMark/>
          </w:tcPr>
          <w:p w14:paraId="3759E952"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Code de conduite et sensibilisation</w:t>
            </w:r>
          </w:p>
        </w:tc>
      </w:tr>
      <w:tr w:rsidR="000F6AF8" w:rsidRPr="000F6AF8" w14:paraId="6A0A10FC" w14:textId="77777777" w:rsidTr="007910F2">
        <w:trPr>
          <w:trHeight w:val="465"/>
        </w:trPr>
        <w:tc>
          <w:tcPr>
            <w:tcW w:w="3011" w:type="dxa"/>
            <w:tcBorders>
              <w:top w:val="single" w:sz="6" w:space="0" w:color="auto"/>
              <w:left w:val="single" w:sz="6" w:space="0" w:color="auto"/>
              <w:bottom w:val="single" w:sz="6" w:space="0" w:color="auto"/>
              <w:right w:val="nil"/>
            </w:tcBorders>
            <w:vAlign w:val="center"/>
            <w:hideMark/>
          </w:tcPr>
          <w:p w14:paraId="57F0E9E1"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eastAsia="Times New Roman" w:hAnsiTheme="majorBidi" w:cstheme="majorBidi"/>
                <w:b/>
                <w:bCs/>
                <w:kern w:val="0"/>
                <w:sz w:val="20"/>
                <w:szCs w:val="20"/>
                <w14:ligatures w14:val="none"/>
              </w:rPr>
              <w:t>5. Enquêtes auprès des bénéficiaires</w:t>
            </w:r>
            <w:r w:rsidRPr="000F6AF8">
              <w:rPr>
                <w:rFonts w:asciiTheme="majorBidi" w:eastAsia="Times New Roman" w:hAnsiTheme="majorBidi" w:cstheme="majorBidi"/>
                <w:kern w:val="0"/>
                <w:sz w:val="20"/>
                <w:szCs w:val="20"/>
                <w14:ligatures w14:val="none"/>
              </w:rPr>
              <w:t> </w:t>
            </w:r>
          </w:p>
        </w:tc>
        <w:tc>
          <w:tcPr>
            <w:tcW w:w="918" w:type="dxa"/>
            <w:tcBorders>
              <w:top w:val="single" w:sz="6" w:space="0" w:color="auto"/>
              <w:left w:val="nil"/>
              <w:bottom w:val="single" w:sz="6" w:space="0" w:color="auto"/>
              <w:right w:val="nil"/>
            </w:tcBorders>
            <w:vAlign w:val="center"/>
            <w:hideMark/>
          </w:tcPr>
          <w:p w14:paraId="50494EA1"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eastAsia="Times New Roman" w:hAnsiTheme="majorBidi" w:cstheme="majorBidi"/>
                <w:b/>
                <w:bCs/>
                <w:kern w:val="0"/>
                <w:sz w:val="20"/>
                <w:szCs w:val="20"/>
                <w14:ligatures w14:val="none"/>
              </w:rPr>
              <w:t> </w:t>
            </w:r>
            <w:r w:rsidRPr="000F6AF8">
              <w:rPr>
                <w:rFonts w:asciiTheme="majorBidi" w:eastAsia="Times New Roman" w:hAnsiTheme="majorBidi" w:cstheme="majorBidi"/>
                <w:kern w:val="0"/>
                <w:sz w:val="20"/>
                <w:szCs w:val="20"/>
                <w14:ligatures w14:val="none"/>
              </w:rPr>
              <w:t> </w:t>
            </w:r>
          </w:p>
        </w:tc>
        <w:tc>
          <w:tcPr>
            <w:tcW w:w="959" w:type="dxa"/>
            <w:tcBorders>
              <w:top w:val="single" w:sz="6" w:space="0" w:color="auto"/>
              <w:left w:val="nil"/>
              <w:bottom w:val="single" w:sz="6" w:space="0" w:color="auto"/>
              <w:right w:val="nil"/>
            </w:tcBorders>
            <w:vAlign w:val="center"/>
            <w:hideMark/>
          </w:tcPr>
          <w:p w14:paraId="275A53ED"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eastAsia="Times New Roman" w:hAnsiTheme="majorBidi" w:cstheme="majorBidi"/>
                <w:b/>
                <w:bCs/>
                <w:kern w:val="0"/>
                <w:sz w:val="20"/>
                <w:szCs w:val="20"/>
                <w14:ligatures w14:val="none"/>
              </w:rPr>
              <w:t> </w:t>
            </w:r>
            <w:r w:rsidRPr="000F6AF8">
              <w:rPr>
                <w:rFonts w:asciiTheme="majorBidi" w:eastAsia="Times New Roman" w:hAnsiTheme="majorBidi" w:cstheme="majorBidi"/>
                <w:kern w:val="0"/>
                <w:sz w:val="20"/>
                <w:szCs w:val="20"/>
                <w14:ligatures w14:val="none"/>
              </w:rPr>
              <w:t> </w:t>
            </w:r>
          </w:p>
        </w:tc>
        <w:tc>
          <w:tcPr>
            <w:tcW w:w="1609" w:type="dxa"/>
            <w:tcBorders>
              <w:top w:val="single" w:sz="6" w:space="0" w:color="auto"/>
              <w:left w:val="nil"/>
              <w:bottom w:val="single" w:sz="6" w:space="0" w:color="auto"/>
              <w:right w:val="nil"/>
            </w:tcBorders>
            <w:vAlign w:val="center"/>
            <w:hideMark/>
          </w:tcPr>
          <w:p w14:paraId="4F5271FB"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eastAsia="Times New Roman" w:hAnsiTheme="majorBidi" w:cstheme="majorBidi"/>
                <w:b/>
                <w:bCs/>
                <w:kern w:val="0"/>
                <w:sz w:val="20"/>
                <w:szCs w:val="20"/>
                <w14:ligatures w14:val="none"/>
              </w:rPr>
              <w:t> </w:t>
            </w:r>
            <w:r w:rsidRPr="000F6AF8">
              <w:rPr>
                <w:rFonts w:asciiTheme="majorBidi" w:eastAsia="Times New Roman" w:hAnsiTheme="majorBidi" w:cstheme="majorBidi"/>
                <w:kern w:val="0"/>
                <w:sz w:val="20"/>
                <w:szCs w:val="20"/>
                <w14:ligatures w14:val="none"/>
              </w:rPr>
              <w:t> </w:t>
            </w:r>
          </w:p>
        </w:tc>
        <w:tc>
          <w:tcPr>
            <w:tcW w:w="778" w:type="dxa"/>
            <w:tcBorders>
              <w:top w:val="single" w:sz="6" w:space="0" w:color="auto"/>
              <w:left w:val="nil"/>
              <w:bottom w:val="single" w:sz="6" w:space="0" w:color="auto"/>
              <w:right w:val="nil"/>
            </w:tcBorders>
            <w:vAlign w:val="bottom"/>
            <w:hideMark/>
          </w:tcPr>
          <w:p w14:paraId="28EB7D95"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eastAsia="Times New Roman" w:hAnsiTheme="majorBidi" w:cstheme="majorBidi"/>
                <w:b/>
                <w:bCs/>
                <w:kern w:val="0"/>
                <w:sz w:val="20"/>
                <w:szCs w:val="20"/>
                <w14:ligatures w14:val="none"/>
              </w:rPr>
              <w:t> </w:t>
            </w:r>
            <w:r w:rsidRPr="000F6AF8">
              <w:rPr>
                <w:rFonts w:asciiTheme="majorBidi" w:eastAsia="Times New Roman" w:hAnsiTheme="majorBidi" w:cstheme="majorBidi"/>
                <w:kern w:val="0"/>
                <w:sz w:val="20"/>
                <w:szCs w:val="20"/>
                <w14:ligatures w14:val="none"/>
              </w:rPr>
              <w:t> </w:t>
            </w:r>
          </w:p>
        </w:tc>
        <w:tc>
          <w:tcPr>
            <w:tcW w:w="1781" w:type="dxa"/>
            <w:tcBorders>
              <w:top w:val="single" w:sz="6" w:space="0" w:color="auto"/>
              <w:left w:val="nil"/>
              <w:bottom w:val="single" w:sz="6" w:space="0" w:color="auto"/>
              <w:right w:val="single" w:sz="6" w:space="0" w:color="auto"/>
            </w:tcBorders>
            <w:vAlign w:val="bottom"/>
            <w:hideMark/>
          </w:tcPr>
          <w:p w14:paraId="6D3D76F9"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eastAsia="Times New Roman" w:hAnsiTheme="majorBidi" w:cstheme="majorBidi"/>
                <w:b/>
                <w:bCs/>
                <w:kern w:val="0"/>
                <w:sz w:val="20"/>
                <w:szCs w:val="20"/>
                <w14:ligatures w14:val="none"/>
              </w:rPr>
              <w:t> </w:t>
            </w:r>
            <w:r w:rsidRPr="000F6AF8">
              <w:rPr>
                <w:rFonts w:asciiTheme="majorBidi" w:eastAsia="Times New Roman" w:hAnsiTheme="majorBidi" w:cstheme="majorBidi"/>
                <w:kern w:val="0"/>
                <w:sz w:val="20"/>
                <w:szCs w:val="20"/>
                <w14:ligatures w14:val="none"/>
              </w:rPr>
              <w:t> </w:t>
            </w:r>
          </w:p>
        </w:tc>
      </w:tr>
      <w:tr w:rsidR="000F6AF8" w:rsidRPr="000F6AF8" w14:paraId="75816ADF" w14:textId="77777777" w:rsidTr="007910F2">
        <w:trPr>
          <w:trHeight w:val="405"/>
        </w:trPr>
        <w:tc>
          <w:tcPr>
            <w:tcW w:w="3011" w:type="dxa"/>
            <w:tcBorders>
              <w:top w:val="single" w:sz="6" w:space="0" w:color="auto"/>
              <w:left w:val="single" w:sz="6" w:space="0" w:color="auto"/>
              <w:bottom w:val="single" w:sz="6" w:space="0" w:color="auto"/>
              <w:right w:val="single" w:sz="6" w:space="0" w:color="auto"/>
            </w:tcBorders>
            <w:vAlign w:val="bottom"/>
            <w:hideMark/>
          </w:tcPr>
          <w:p w14:paraId="1F3A8E5B"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Enquête de perception (évaluation du processus de consultation)</w:t>
            </w:r>
          </w:p>
        </w:tc>
        <w:tc>
          <w:tcPr>
            <w:tcW w:w="918" w:type="dxa"/>
            <w:tcBorders>
              <w:top w:val="single" w:sz="6" w:space="0" w:color="auto"/>
              <w:left w:val="single" w:sz="6" w:space="0" w:color="auto"/>
              <w:bottom w:val="single" w:sz="6" w:space="0" w:color="auto"/>
              <w:right w:val="single" w:sz="6" w:space="0" w:color="auto"/>
            </w:tcBorders>
            <w:vAlign w:val="center"/>
            <w:hideMark/>
          </w:tcPr>
          <w:p w14:paraId="247407BC"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1</w:t>
            </w:r>
          </w:p>
        </w:tc>
        <w:tc>
          <w:tcPr>
            <w:tcW w:w="959" w:type="dxa"/>
            <w:tcBorders>
              <w:top w:val="single" w:sz="6" w:space="0" w:color="auto"/>
              <w:left w:val="single" w:sz="6" w:space="0" w:color="auto"/>
              <w:bottom w:val="single" w:sz="6" w:space="0" w:color="auto"/>
              <w:right w:val="single" w:sz="6" w:space="0" w:color="auto"/>
            </w:tcBorders>
            <w:vAlign w:val="center"/>
            <w:hideMark/>
          </w:tcPr>
          <w:p w14:paraId="12598680"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5 000 / enquête</w:t>
            </w:r>
          </w:p>
        </w:tc>
        <w:tc>
          <w:tcPr>
            <w:tcW w:w="1609" w:type="dxa"/>
            <w:tcBorders>
              <w:top w:val="single" w:sz="6" w:space="0" w:color="auto"/>
              <w:left w:val="single" w:sz="6" w:space="0" w:color="auto"/>
              <w:bottom w:val="single" w:sz="6" w:space="0" w:color="auto"/>
              <w:right w:val="single" w:sz="6" w:space="0" w:color="auto"/>
            </w:tcBorders>
            <w:vAlign w:val="center"/>
            <w:hideMark/>
          </w:tcPr>
          <w:p w14:paraId="0F898FC1"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Fin de phase</w:t>
            </w:r>
          </w:p>
        </w:tc>
        <w:tc>
          <w:tcPr>
            <w:tcW w:w="778" w:type="dxa"/>
            <w:tcBorders>
              <w:top w:val="single" w:sz="6" w:space="0" w:color="auto"/>
              <w:left w:val="single" w:sz="6" w:space="0" w:color="auto"/>
              <w:bottom w:val="single" w:sz="6" w:space="0" w:color="auto"/>
              <w:right w:val="single" w:sz="6" w:space="0" w:color="auto"/>
            </w:tcBorders>
            <w:vAlign w:val="center"/>
            <w:hideMark/>
          </w:tcPr>
          <w:p w14:paraId="2B5C9BE2"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5 000</w:t>
            </w:r>
          </w:p>
        </w:tc>
        <w:tc>
          <w:tcPr>
            <w:tcW w:w="1781" w:type="dxa"/>
            <w:tcBorders>
              <w:top w:val="single" w:sz="6" w:space="0" w:color="auto"/>
              <w:left w:val="single" w:sz="6" w:space="0" w:color="auto"/>
              <w:bottom w:val="single" w:sz="6" w:space="0" w:color="auto"/>
              <w:right w:val="single" w:sz="6" w:space="0" w:color="auto"/>
            </w:tcBorders>
            <w:vAlign w:val="center"/>
            <w:hideMark/>
          </w:tcPr>
          <w:p w14:paraId="1AD4EC7E"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Retour d'expérience sur la préparation</w:t>
            </w:r>
          </w:p>
        </w:tc>
      </w:tr>
      <w:tr w:rsidR="000F6AF8" w:rsidRPr="000F6AF8" w14:paraId="052B8A62" w14:textId="77777777" w:rsidTr="007910F2">
        <w:trPr>
          <w:trHeight w:val="465"/>
        </w:trPr>
        <w:tc>
          <w:tcPr>
            <w:tcW w:w="3011" w:type="dxa"/>
            <w:tcBorders>
              <w:top w:val="single" w:sz="6" w:space="0" w:color="auto"/>
              <w:left w:val="single" w:sz="6" w:space="0" w:color="auto"/>
              <w:bottom w:val="single" w:sz="6" w:space="0" w:color="auto"/>
              <w:right w:val="nil"/>
            </w:tcBorders>
            <w:vAlign w:val="center"/>
            <w:hideMark/>
          </w:tcPr>
          <w:p w14:paraId="00EDE9B2"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eastAsia="Times New Roman" w:hAnsiTheme="majorBidi" w:cstheme="majorBidi"/>
                <w:b/>
                <w:bCs/>
                <w:kern w:val="0"/>
                <w:sz w:val="20"/>
                <w:szCs w:val="20"/>
                <w14:ligatures w14:val="none"/>
              </w:rPr>
              <w:t>6. Mécanisme de gestion des plaintes</w:t>
            </w:r>
            <w:r w:rsidRPr="000F6AF8">
              <w:rPr>
                <w:rFonts w:asciiTheme="majorBidi" w:eastAsia="Times New Roman" w:hAnsiTheme="majorBidi" w:cstheme="majorBidi"/>
                <w:kern w:val="0"/>
                <w:sz w:val="20"/>
                <w:szCs w:val="20"/>
                <w14:ligatures w14:val="none"/>
              </w:rPr>
              <w:t> </w:t>
            </w:r>
          </w:p>
        </w:tc>
        <w:tc>
          <w:tcPr>
            <w:tcW w:w="918" w:type="dxa"/>
            <w:tcBorders>
              <w:top w:val="single" w:sz="6" w:space="0" w:color="auto"/>
              <w:left w:val="nil"/>
              <w:bottom w:val="single" w:sz="6" w:space="0" w:color="auto"/>
              <w:right w:val="nil"/>
            </w:tcBorders>
            <w:vAlign w:val="center"/>
            <w:hideMark/>
          </w:tcPr>
          <w:p w14:paraId="422B0EBB"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eastAsia="Times New Roman" w:hAnsiTheme="majorBidi" w:cstheme="majorBidi"/>
                <w:b/>
                <w:bCs/>
                <w:kern w:val="0"/>
                <w:sz w:val="20"/>
                <w:szCs w:val="20"/>
                <w14:ligatures w14:val="none"/>
              </w:rPr>
              <w:t> </w:t>
            </w:r>
            <w:r w:rsidRPr="000F6AF8">
              <w:rPr>
                <w:rFonts w:asciiTheme="majorBidi" w:eastAsia="Times New Roman" w:hAnsiTheme="majorBidi" w:cstheme="majorBidi"/>
                <w:kern w:val="0"/>
                <w:sz w:val="20"/>
                <w:szCs w:val="20"/>
                <w14:ligatures w14:val="none"/>
              </w:rPr>
              <w:t> </w:t>
            </w:r>
          </w:p>
        </w:tc>
        <w:tc>
          <w:tcPr>
            <w:tcW w:w="959" w:type="dxa"/>
            <w:tcBorders>
              <w:top w:val="single" w:sz="6" w:space="0" w:color="auto"/>
              <w:left w:val="nil"/>
              <w:bottom w:val="single" w:sz="6" w:space="0" w:color="auto"/>
              <w:right w:val="nil"/>
            </w:tcBorders>
            <w:vAlign w:val="center"/>
            <w:hideMark/>
          </w:tcPr>
          <w:p w14:paraId="08E0F733"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eastAsia="Times New Roman" w:hAnsiTheme="majorBidi" w:cstheme="majorBidi"/>
                <w:b/>
                <w:bCs/>
                <w:kern w:val="0"/>
                <w:sz w:val="20"/>
                <w:szCs w:val="20"/>
                <w14:ligatures w14:val="none"/>
              </w:rPr>
              <w:t> </w:t>
            </w:r>
            <w:r w:rsidRPr="000F6AF8">
              <w:rPr>
                <w:rFonts w:asciiTheme="majorBidi" w:eastAsia="Times New Roman" w:hAnsiTheme="majorBidi" w:cstheme="majorBidi"/>
                <w:kern w:val="0"/>
                <w:sz w:val="20"/>
                <w:szCs w:val="20"/>
                <w14:ligatures w14:val="none"/>
              </w:rPr>
              <w:t> </w:t>
            </w:r>
          </w:p>
        </w:tc>
        <w:tc>
          <w:tcPr>
            <w:tcW w:w="1609" w:type="dxa"/>
            <w:tcBorders>
              <w:top w:val="single" w:sz="6" w:space="0" w:color="auto"/>
              <w:left w:val="nil"/>
              <w:bottom w:val="single" w:sz="6" w:space="0" w:color="auto"/>
              <w:right w:val="nil"/>
            </w:tcBorders>
            <w:vAlign w:val="center"/>
            <w:hideMark/>
          </w:tcPr>
          <w:p w14:paraId="3978279C"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eastAsia="Times New Roman" w:hAnsiTheme="majorBidi" w:cstheme="majorBidi"/>
                <w:b/>
                <w:bCs/>
                <w:kern w:val="0"/>
                <w:sz w:val="20"/>
                <w:szCs w:val="20"/>
                <w14:ligatures w14:val="none"/>
              </w:rPr>
              <w:t> </w:t>
            </w:r>
            <w:r w:rsidRPr="000F6AF8">
              <w:rPr>
                <w:rFonts w:asciiTheme="majorBidi" w:eastAsia="Times New Roman" w:hAnsiTheme="majorBidi" w:cstheme="majorBidi"/>
                <w:kern w:val="0"/>
                <w:sz w:val="20"/>
                <w:szCs w:val="20"/>
                <w14:ligatures w14:val="none"/>
              </w:rPr>
              <w:t> </w:t>
            </w:r>
          </w:p>
        </w:tc>
        <w:tc>
          <w:tcPr>
            <w:tcW w:w="778" w:type="dxa"/>
            <w:tcBorders>
              <w:top w:val="single" w:sz="6" w:space="0" w:color="auto"/>
              <w:left w:val="nil"/>
              <w:bottom w:val="single" w:sz="6" w:space="0" w:color="auto"/>
              <w:right w:val="nil"/>
            </w:tcBorders>
            <w:vAlign w:val="bottom"/>
            <w:hideMark/>
          </w:tcPr>
          <w:p w14:paraId="51945B78"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eastAsia="Times New Roman" w:hAnsiTheme="majorBidi" w:cstheme="majorBidi"/>
                <w:b/>
                <w:bCs/>
                <w:kern w:val="0"/>
                <w:sz w:val="20"/>
                <w:szCs w:val="20"/>
                <w14:ligatures w14:val="none"/>
              </w:rPr>
              <w:t> </w:t>
            </w:r>
            <w:r w:rsidRPr="000F6AF8">
              <w:rPr>
                <w:rFonts w:asciiTheme="majorBidi" w:eastAsia="Times New Roman" w:hAnsiTheme="majorBidi" w:cstheme="majorBidi"/>
                <w:kern w:val="0"/>
                <w:sz w:val="20"/>
                <w:szCs w:val="20"/>
                <w14:ligatures w14:val="none"/>
              </w:rPr>
              <w:t> </w:t>
            </w:r>
          </w:p>
        </w:tc>
        <w:tc>
          <w:tcPr>
            <w:tcW w:w="1781" w:type="dxa"/>
            <w:tcBorders>
              <w:top w:val="single" w:sz="6" w:space="0" w:color="auto"/>
              <w:left w:val="nil"/>
              <w:bottom w:val="single" w:sz="6" w:space="0" w:color="auto"/>
              <w:right w:val="single" w:sz="6" w:space="0" w:color="auto"/>
            </w:tcBorders>
            <w:vAlign w:val="bottom"/>
            <w:hideMark/>
          </w:tcPr>
          <w:p w14:paraId="4385F597"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eastAsia="Times New Roman" w:hAnsiTheme="majorBidi" w:cstheme="majorBidi"/>
                <w:b/>
                <w:bCs/>
                <w:kern w:val="0"/>
                <w:sz w:val="20"/>
                <w:szCs w:val="20"/>
                <w14:ligatures w14:val="none"/>
              </w:rPr>
              <w:t> </w:t>
            </w:r>
            <w:r w:rsidRPr="000F6AF8">
              <w:rPr>
                <w:rFonts w:asciiTheme="majorBidi" w:eastAsia="Times New Roman" w:hAnsiTheme="majorBidi" w:cstheme="majorBidi"/>
                <w:kern w:val="0"/>
                <w:sz w:val="20"/>
                <w:szCs w:val="20"/>
                <w14:ligatures w14:val="none"/>
              </w:rPr>
              <w:t> </w:t>
            </w:r>
          </w:p>
        </w:tc>
      </w:tr>
      <w:tr w:rsidR="000F6AF8" w:rsidRPr="000F6AF8" w14:paraId="0B4E7D4F" w14:textId="77777777" w:rsidTr="007910F2">
        <w:trPr>
          <w:trHeight w:val="255"/>
        </w:trPr>
        <w:tc>
          <w:tcPr>
            <w:tcW w:w="3011" w:type="dxa"/>
            <w:tcBorders>
              <w:top w:val="single" w:sz="6" w:space="0" w:color="auto"/>
              <w:left w:val="single" w:sz="6" w:space="0" w:color="auto"/>
              <w:bottom w:val="single" w:sz="6" w:space="0" w:color="auto"/>
              <w:right w:val="single" w:sz="6" w:space="0" w:color="auto"/>
            </w:tcBorders>
            <w:vAlign w:val="bottom"/>
            <w:hideMark/>
          </w:tcPr>
          <w:p w14:paraId="726893FC"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Formation des points focaux et comités du MGP</w:t>
            </w:r>
          </w:p>
        </w:tc>
        <w:tc>
          <w:tcPr>
            <w:tcW w:w="918" w:type="dxa"/>
            <w:tcBorders>
              <w:top w:val="single" w:sz="6" w:space="0" w:color="auto"/>
              <w:left w:val="single" w:sz="6" w:space="0" w:color="auto"/>
              <w:bottom w:val="single" w:sz="6" w:space="0" w:color="auto"/>
              <w:right w:val="single" w:sz="6" w:space="0" w:color="auto"/>
            </w:tcBorders>
            <w:vAlign w:val="center"/>
            <w:hideMark/>
          </w:tcPr>
          <w:p w14:paraId="31022834"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2</w:t>
            </w:r>
          </w:p>
        </w:tc>
        <w:tc>
          <w:tcPr>
            <w:tcW w:w="959" w:type="dxa"/>
            <w:tcBorders>
              <w:top w:val="single" w:sz="6" w:space="0" w:color="auto"/>
              <w:left w:val="single" w:sz="6" w:space="0" w:color="auto"/>
              <w:bottom w:val="single" w:sz="6" w:space="0" w:color="auto"/>
              <w:right w:val="single" w:sz="6" w:space="0" w:color="auto"/>
            </w:tcBorders>
            <w:vAlign w:val="center"/>
            <w:hideMark/>
          </w:tcPr>
          <w:p w14:paraId="3ACD1DE5"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1 500 / session</w:t>
            </w:r>
          </w:p>
        </w:tc>
        <w:tc>
          <w:tcPr>
            <w:tcW w:w="1609" w:type="dxa"/>
            <w:tcBorders>
              <w:top w:val="single" w:sz="6" w:space="0" w:color="auto"/>
              <w:left w:val="single" w:sz="6" w:space="0" w:color="auto"/>
              <w:bottom w:val="single" w:sz="6" w:space="0" w:color="auto"/>
              <w:right w:val="single" w:sz="6" w:space="0" w:color="auto"/>
            </w:tcBorders>
            <w:vAlign w:val="center"/>
            <w:hideMark/>
          </w:tcPr>
          <w:p w14:paraId="6A00AD36"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18 mois</w:t>
            </w:r>
          </w:p>
        </w:tc>
        <w:tc>
          <w:tcPr>
            <w:tcW w:w="778" w:type="dxa"/>
            <w:tcBorders>
              <w:top w:val="single" w:sz="6" w:space="0" w:color="auto"/>
              <w:left w:val="single" w:sz="6" w:space="0" w:color="auto"/>
              <w:bottom w:val="single" w:sz="6" w:space="0" w:color="auto"/>
              <w:right w:val="single" w:sz="6" w:space="0" w:color="auto"/>
            </w:tcBorders>
            <w:vAlign w:val="center"/>
            <w:hideMark/>
          </w:tcPr>
          <w:p w14:paraId="3701D459"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3 000</w:t>
            </w:r>
          </w:p>
        </w:tc>
        <w:tc>
          <w:tcPr>
            <w:tcW w:w="1781" w:type="dxa"/>
            <w:tcBorders>
              <w:top w:val="single" w:sz="6" w:space="0" w:color="auto"/>
              <w:left w:val="single" w:sz="6" w:space="0" w:color="auto"/>
              <w:bottom w:val="single" w:sz="6" w:space="0" w:color="auto"/>
              <w:right w:val="single" w:sz="6" w:space="0" w:color="auto"/>
            </w:tcBorders>
            <w:vAlign w:val="center"/>
            <w:hideMark/>
          </w:tcPr>
          <w:p w14:paraId="5C3C2B1A"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Opérationnalisation du MGP</w:t>
            </w:r>
          </w:p>
        </w:tc>
      </w:tr>
      <w:tr w:rsidR="000F6AF8" w:rsidRPr="000F6AF8" w14:paraId="2F50168F" w14:textId="77777777" w:rsidTr="007910F2">
        <w:trPr>
          <w:trHeight w:val="255"/>
        </w:trPr>
        <w:tc>
          <w:tcPr>
            <w:tcW w:w="3011" w:type="dxa"/>
            <w:tcBorders>
              <w:top w:val="single" w:sz="6" w:space="0" w:color="auto"/>
              <w:left w:val="single" w:sz="6" w:space="0" w:color="auto"/>
              <w:bottom w:val="single" w:sz="6" w:space="0" w:color="auto"/>
              <w:right w:val="single" w:sz="6" w:space="0" w:color="auto"/>
            </w:tcBorders>
            <w:vAlign w:val="bottom"/>
            <w:hideMark/>
          </w:tcPr>
          <w:p w14:paraId="5D29F2A6"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Système d’information du MGP (plateforme numérique)</w:t>
            </w:r>
          </w:p>
        </w:tc>
        <w:tc>
          <w:tcPr>
            <w:tcW w:w="918" w:type="dxa"/>
            <w:tcBorders>
              <w:top w:val="single" w:sz="6" w:space="0" w:color="auto"/>
              <w:left w:val="single" w:sz="6" w:space="0" w:color="auto"/>
              <w:bottom w:val="single" w:sz="6" w:space="0" w:color="auto"/>
              <w:right w:val="single" w:sz="6" w:space="0" w:color="auto"/>
            </w:tcBorders>
            <w:vAlign w:val="center"/>
            <w:hideMark/>
          </w:tcPr>
          <w:p w14:paraId="2D4EB7ED"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1</w:t>
            </w:r>
          </w:p>
        </w:tc>
        <w:tc>
          <w:tcPr>
            <w:tcW w:w="959" w:type="dxa"/>
            <w:tcBorders>
              <w:top w:val="single" w:sz="6" w:space="0" w:color="auto"/>
              <w:left w:val="single" w:sz="6" w:space="0" w:color="auto"/>
              <w:bottom w:val="single" w:sz="6" w:space="0" w:color="auto"/>
              <w:right w:val="single" w:sz="6" w:space="0" w:color="auto"/>
            </w:tcBorders>
            <w:vAlign w:val="center"/>
            <w:hideMark/>
          </w:tcPr>
          <w:p w14:paraId="3FF2CEF9"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4 000 / forfait</w:t>
            </w:r>
          </w:p>
        </w:tc>
        <w:tc>
          <w:tcPr>
            <w:tcW w:w="1609" w:type="dxa"/>
            <w:tcBorders>
              <w:top w:val="single" w:sz="6" w:space="0" w:color="auto"/>
              <w:left w:val="single" w:sz="6" w:space="0" w:color="auto"/>
              <w:bottom w:val="single" w:sz="6" w:space="0" w:color="auto"/>
              <w:right w:val="single" w:sz="6" w:space="0" w:color="auto"/>
            </w:tcBorders>
            <w:vAlign w:val="center"/>
            <w:hideMark/>
          </w:tcPr>
          <w:p w14:paraId="60FAF20F"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18 mois</w:t>
            </w:r>
          </w:p>
        </w:tc>
        <w:tc>
          <w:tcPr>
            <w:tcW w:w="778" w:type="dxa"/>
            <w:tcBorders>
              <w:top w:val="single" w:sz="6" w:space="0" w:color="auto"/>
              <w:left w:val="single" w:sz="6" w:space="0" w:color="auto"/>
              <w:bottom w:val="single" w:sz="6" w:space="0" w:color="auto"/>
              <w:right w:val="single" w:sz="6" w:space="0" w:color="auto"/>
            </w:tcBorders>
            <w:vAlign w:val="center"/>
            <w:hideMark/>
          </w:tcPr>
          <w:p w14:paraId="16250DDB"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4 000</w:t>
            </w:r>
          </w:p>
        </w:tc>
        <w:tc>
          <w:tcPr>
            <w:tcW w:w="1781" w:type="dxa"/>
            <w:tcBorders>
              <w:top w:val="single" w:sz="6" w:space="0" w:color="auto"/>
              <w:left w:val="single" w:sz="6" w:space="0" w:color="auto"/>
              <w:bottom w:val="single" w:sz="6" w:space="0" w:color="auto"/>
              <w:right w:val="single" w:sz="6" w:space="0" w:color="auto"/>
            </w:tcBorders>
            <w:vAlign w:val="center"/>
            <w:hideMark/>
          </w:tcPr>
          <w:p w14:paraId="26914D52"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hAnsiTheme="majorBidi" w:cstheme="majorBidi"/>
                <w:sz w:val="20"/>
                <w:szCs w:val="20"/>
              </w:rPr>
              <w:t>Adaptation de la plateforme existante</w:t>
            </w:r>
          </w:p>
        </w:tc>
      </w:tr>
      <w:tr w:rsidR="000F6AF8" w:rsidRPr="000F6AF8" w14:paraId="5FFC5040" w14:textId="77777777" w:rsidTr="007910F2">
        <w:trPr>
          <w:trHeight w:val="450"/>
        </w:trPr>
        <w:tc>
          <w:tcPr>
            <w:tcW w:w="6497" w:type="dxa"/>
            <w:gridSpan w:val="4"/>
            <w:tcBorders>
              <w:top w:val="single" w:sz="6" w:space="0" w:color="auto"/>
              <w:left w:val="single" w:sz="6" w:space="0" w:color="auto"/>
              <w:bottom w:val="single" w:sz="6" w:space="0" w:color="auto"/>
              <w:right w:val="single" w:sz="6" w:space="0" w:color="auto"/>
            </w:tcBorders>
            <w:vAlign w:val="center"/>
            <w:hideMark/>
          </w:tcPr>
          <w:p w14:paraId="2E7E48A3"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eastAsia="Times New Roman" w:hAnsiTheme="majorBidi" w:cstheme="majorBidi"/>
                <w:b/>
                <w:bCs/>
                <w:kern w:val="0"/>
                <w:sz w:val="20"/>
                <w:szCs w:val="20"/>
                <w14:ligatures w14:val="none"/>
              </w:rPr>
              <w:t>BUDGET TOTAL CONSACRÉ À LA MOBILISATION DES PARTIES PRENANTES :</w:t>
            </w:r>
            <w:r w:rsidRPr="000F6AF8">
              <w:rPr>
                <w:rFonts w:asciiTheme="majorBidi" w:eastAsia="Times New Roman" w:hAnsiTheme="majorBidi" w:cstheme="majorBidi"/>
                <w:kern w:val="0"/>
                <w:sz w:val="20"/>
                <w:szCs w:val="20"/>
                <w14:ligatures w14:val="none"/>
              </w:rPr>
              <w:t> </w:t>
            </w:r>
          </w:p>
        </w:tc>
        <w:tc>
          <w:tcPr>
            <w:tcW w:w="778" w:type="dxa"/>
            <w:tcBorders>
              <w:top w:val="single" w:sz="6" w:space="0" w:color="auto"/>
              <w:left w:val="single" w:sz="6" w:space="0" w:color="auto"/>
              <w:bottom w:val="single" w:sz="6" w:space="0" w:color="auto"/>
              <w:right w:val="single" w:sz="6" w:space="0" w:color="auto"/>
            </w:tcBorders>
            <w:vAlign w:val="bottom"/>
            <w:hideMark/>
          </w:tcPr>
          <w:p w14:paraId="3DB56324"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eastAsia="Times New Roman" w:hAnsiTheme="majorBidi" w:cstheme="majorBidi"/>
                <w:kern w:val="0"/>
                <w:sz w:val="20"/>
                <w:szCs w:val="20"/>
                <w14:ligatures w14:val="none"/>
              </w:rPr>
              <w:t>  82000</w:t>
            </w:r>
          </w:p>
        </w:tc>
        <w:tc>
          <w:tcPr>
            <w:tcW w:w="1781" w:type="dxa"/>
            <w:tcBorders>
              <w:top w:val="single" w:sz="6" w:space="0" w:color="auto"/>
              <w:left w:val="single" w:sz="6" w:space="0" w:color="auto"/>
              <w:bottom w:val="single" w:sz="6" w:space="0" w:color="auto"/>
              <w:right w:val="single" w:sz="6" w:space="0" w:color="auto"/>
            </w:tcBorders>
            <w:vAlign w:val="bottom"/>
            <w:hideMark/>
          </w:tcPr>
          <w:p w14:paraId="72A93251" w14:textId="77777777" w:rsidR="000F6AF8" w:rsidRPr="000F6AF8" w:rsidRDefault="000F6AF8" w:rsidP="007910F2">
            <w:pPr>
              <w:spacing w:after="0" w:line="240" w:lineRule="auto"/>
              <w:textAlignment w:val="baseline"/>
              <w:rPr>
                <w:rFonts w:asciiTheme="majorBidi" w:eastAsia="Times New Roman" w:hAnsiTheme="majorBidi" w:cstheme="majorBidi"/>
                <w:kern w:val="0"/>
                <w:sz w:val="20"/>
                <w:szCs w:val="20"/>
                <w14:ligatures w14:val="none"/>
              </w:rPr>
            </w:pPr>
            <w:r w:rsidRPr="000F6AF8">
              <w:rPr>
                <w:rFonts w:asciiTheme="majorBidi" w:eastAsia="Times New Roman" w:hAnsiTheme="majorBidi" w:cstheme="majorBidi"/>
                <w:kern w:val="0"/>
                <w:sz w:val="20"/>
                <w:szCs w:val="20"/>
                <w14:ligatures w14:val="none"/>
              </w:rPr>
              <w:t>  </w:t>
            </w:r>
          </w:p>
        </w:tc>
      </w:tr>
    </w:tbl>
    <w:p w14:paraId="3B0A6596" w14:textId="538A5B0F" w:rsidR="0027346F" w:rsidRDefault="000F6AF8">
      <w:pPr>
        <w:spacing w:line="278" w:lineRule="auto"/>
        <w:rPr>
          <w:b/>
          <w:bCs/>
          <w:sz w:val="24"/>
          <w:szCs w:val="24"/>
        </w:rPr>
      </w:pPr>
      <w:r w:rsidRPr="00DD76DA">
        <w:rPr>
          <w:rFonts w:ascii="Calibri" w:eastAsia="Times New Roman" w:hAnsi="Calibri" w:cs="Calibri"/>
          <w:kern w:val="0"/>
          <w14:ligatures w14:val="none"/>
        </w:rPr>
        <w:t>Note : Les coûts salariaux peuvent être indicatifs.</w:t>
      </w:r>
      <w:r w:rsidRPr="00DD76DA">
        <w:rPr>
          <w:rFonts w:ascii="Calibri" w:eastAsia="Times New Roman" w:hAnsi="Calibri" w:cs="Calibri"/>
          <w:kern w:val="0"/>
          <w:bdr w:val="none" w:sz="0" w:space="0" w:color="auto" w:frame="1"/>
          <w:shd w:val="clear" w:color="auto" w:fill="C6C6C6"/>
          <w14:ligatures w14:val="none"/>
        </w:rPr>
        <w:t> </w:t>
      </w:r>
      <w:r w:rsidR="0027346F">
        <w:rPr>
          <w:b/>
          <w:bCs/>
          <w:sz w:val="24"/>
          <w:szCs w:val="24"/>
        </w:rPr>
        <w:br w:type="page"/>
      </w:r>
    </w:p>
    <w:p w14:paraId="7B47E996" w14:textId="4084A067" w:rsidR="0083496A" w:rsidRPr="00DD76DA" w:rsidRDefault="0083496A" w:rsidP="0083496A">
      <w:pPr>
        <w:rPr>
          <w:b/>
          <w:bCs/>
          <w:sz w:val="24"/>
          <w:szCs w:val="24"/>
        </w:rPr>
      </w:pPr>
      <w:r w:rsidRPr="00DD76DA">
        <w:rPr>
          <w:b/>
          <w:bCs/>
          <w:sz w:val="24"/>
          <w:szCs w:val="24"/>
        </w:rPr>
        <w:lastRenderedPageBreak/>
        <w:t>Annexes </w:t>
      </w:r>
    </w:p>
    <w:p w14:paraId="4F633775" w14:textId="77777777" w:rsidR="0083496A" w:rsidRPr="00DD76DA" w:rsidRDefault="0083496A">
      <w:pPr>
        <w:pStyle w:val="ListParagraph"/>
        <w:numPr>
          <w:ilvl w:val="0"/>
          <w:numId w:val="9"/>
        </w:numPr>
        <w:spacing w:after="0" w:line="240" w:lineRule="auto"/>
        <w:jc w:val="both"/>
        <w:textAlignment w:val="baseline"/>
        <w:rPr>
          <w:rFonts w:ascii="Segoe UI" w:eastAsia="Times New Roman" w:hAnsi="Segoe UI" w:cs="Segoe UI"/>
          <w:color w:val="000000"/>
          <w:kern w:val="0"/>
          <w:sz w:val="18"/>
          <w:szCs w:val="18"/>
          <w14:ligatures w14:val="none"/>
        </w:rPr>
      </w:pPr>
      <w:r w:rsidRPr="00DD76DA">
        <w:rPr>
          <w:rFonts w:ascii="Calibri" w:eastAsia="Times New Roman" w:hAnsi="Calibri" w:cs="Calibri"/>
          <w:b/>
          <w:bCs/>
          <w:color w:val="000000"/>
          <w:kern w:val="0"/>
          <w14:ligatures w14:val="none"/>
        </w:rPr>
        <w:t>Annexe 1 : Modèle de procès-verbal de consultations</w:t>
      </w:r>
      <w:r w:rsidRPr="00DD76DA">
        <w:rPr>
          <w:rFonts w:ascii="Calibri" w:eastAsia="Times New Roman" w:hAnsi="Calibri" w:cs="Calibri"/>
          <w:color w:val="000000"/>
          <w:kern w:val="0"/>
          <w:bdr w:val="none" w:sz="0" w:space="0" w:color="auto" w:frame="1"/>
          <w:shd w:val="clear" w:color="auto" w:fill="C6C6C6"/>
          <w14:ligatures w14:val="none"/>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58"/>
        <w:gridCol w:w="1941"/>
        <w:gridCol w:w="2314"/>
        <w:gridCol w:w="2358"/>
      </w:tblGrid>
      <w:tr w:rsidR="0083496A" w:rsidRPr="00442D31" w14:paraId="4A9DAABB" w14:textId="77777777" w:rsidTr="00DE1F59">
        <w:trPr>
          <w:trHeight w:val="300"/>
        </w:trPr>
        <w:tc>
          <w:tcPr>
            <w:tcW w:w="2655" w:type="dxa"/>
            <w:tcBorders>
              <w:top w:val="single" w:sz="6" w:space="0" w:color="auto"/>
              <w:left w:val="single" w:sz="6" w:space="0" w:color="auto"/>
              <w:bottom w:val="single" w:sz="6" w:space="0" w:color="auto"/>
              <w:right w:val="single" w:sz="6" w:space="0" w:color="auto"/>
            </w:tcBorders>
            <w:hideMark/>
          </w:tcPr>
          <w:p w14:paraId="2C53613E" w14:textId="77777777" w:rsidR="0083496A" w:rsidRPr="00442D31" w:rsidRDefault="0083496A" w:rsidP="00DE1F59">
            <w:pPr>
              <w:spacing w:after="0" w:line="240" w:lineRule="auto"/>
              <w:textAlignment w:val="baseline"/>
              <w:rPr>
                <w:rFonts w:asciiTheme="majorBidi" w:eastAsia="Times New Roman" w:hAnsiTheme="majorBidi" w:cstheme="majorBidi"/>
                <w:color w:val="000000"/>
                <w:kern w:val="0"/>
                <w:sz w:val="20"/>
                <w:szCs w:val="20"/>
                <w14:ligatures w14:val="none"/>
              </w:rPr>
            </w:pPr>
            <w:r w:rsidRPr="00442D31">
              <w:rPr>
                <w:rFonts w:asciiTheme="majorBidi" w:eastAsia="Times New Roman" w:hAnsiTheme="majorBidi" w:cstheme="majorBidi"/>
                <w:color w:val="000000"/>
                <w:kern w:val="0"/>
                <w:sz w:val="20"/>
                <w:szCs w:val="20"/>
                <w14:ligatures w14:val="none"/>
              </w:rPr>
              <w:t>Partie prenante (groupe ou individu) </w:t>
            </w:r>
          </w:p>
        </w:tc>
        <w:tc>
          <w:tcPr>
            <w:tcW w:w="2025" w:type="dxa"/>
            <w:tcBorders>
              <w:top w:val="single" w:sz="6" w:space="0" w:color="auto"/>
              <w:left w:val="single" w:sz="6" w:space="0" w:color="auto"/>
              <w:bottom w:val="single" w:sz="6" w:space="0" w:color="auto"/>
              <w:right w:val="single" w:sz="6" w:space="0" w:color="auto"/>
            </w:tcBorders>
            <w:hideMark/>
          </w:tcPr>
          <w:p w14:paraId="15C643EB" w14:textId="77777777" w:rsidR="0083496A" w:rsidRPr="00442D31" w:rsidRDefault="0083496A" w:rsidP="00DE1F59">
            <w:pPr>
              <w:spacing w:after="0" w:line="240" w:lineRule="auto"/>
              <w:textAlignment w:val="baseline"/>
              <w:rPr>
                <w:rFonts w:asciiTheme="majorBidi" w:eastAsia="Times New Roman" w:hAnsiTheme="majorBidi" w:cstheme="majorBidi"/>
                <w:color w:val="000000"/>
                <w:kern w:val="0"/>
                <w:sz w:val="20"/>
                <w:szCs w:val="20"/>
                <w14:ligatures w14:val="none"/>
              </w:rPr>
            </w:pPr>
            <w:r w:rsidRPr="00442D31">
              <w:rPr>
                <w:rFonts w:asciiTheme="majorBidi" w:eastAsia="Times New Roman" w:hAnsiTheme="majorBidi" w:cstheme="majorBidi"/>
                <w:color w:val="000000"/>
                <w:kern w:val="0"/>
                <w:sz w:val="20"/>
                <w:szCs w:val="20"/>
                <w14:ligatures w14:val="none"/>
              </w:rPr>
              <w:t>Synthèse des commentaires  </w:t>
            </w:r>
          </w:p>
        </w:tc>
        <w:tc>
          <w:tcPr>
            <w:tcW w:w="2505" w:type="dxa"/>
            <w:tcBorders>
              <w:top w:val="single" w:sz="6" w:space="0" w:color="auto"/>
              <w:left w:val="single" w:sz="6" w:space="0" w:color="auto"/>
              <w:bottom w:val="single" w:sz="6" w:space="0" w:color="auto"/>
              <w:right w:val="single" w:sz="6" w:space="0" w:color="auto"/>
            </w:tcBorders>
            <w:hideMark/>
          </w:tcPr>
          <w:p w14:paraId="72285148" w14:textId="77777777" w:rsidR="0083496A" w:rsidRPr="00442D31" w:rsidRDefault="0083496A" w:rsidP="00DE1F59">
            <w:pPr>
              <w:spacing w:after="0" w:line="240" w:lineRule="auto"/>
              <w:textAlignment w:val="baseline"/>
              <w:rPr>
                <w:rFonts w:asciiTheme="majorBidi" w:eastAsia="Times New Roman" w:hAnsiTheme="majorBidi" w:cstheme="majorBidi"/>
                <w:color w:val="000000"/>
                <w:kern w:val="0"/>
                <w:sz w:val="20"/>
                <w:szCs w:val="20"/>
                <w14:ligatures w14:val="none"/>
              </w:rPr>
            </w:pPr>
            <w:r w:rsidRPr="00442D31">
              <w:rPr>
                <w:rFonts w:asciiTheme="majorBidi" w:eastAsia="Times New Roman" w:hAnsiTheme="majorBidi" w:cstheme="majorBidi"/>
                <w:color w:val="000000"/>
                <w:kern w:val="0"/>
                <w:sz w:val="20"/>
                <w:szCs w:val="20"/>
                <w14:ligatures w14:val="none"/>
              </w:rPr>
              <w:t>Réponse de l’équipe de projet  </w:t>
            </w:r>
          </w:p>
        </w:tc>
        <w:tc>
          <w:tcPr>
            <w:tcW w:w="2520" w:type="dxa"/>
            <w:tcBorders>
              <w:top w:val="single" w:sz="6" w:space="0" w:color="auto"/>
              <w:left w:val="single" w:sz="6" w:space="0" w:color="auto"/>
              <w:bottom w:val="single" w:sz="6" w:space="0" w:color="auto"/>
              <w:right w:val="single" w:sz="6" w:space="0" w:color="auto"/>
            </w:tcBorders>
            <w:hideMark/>
          </w:tcPr>
          <w:p w14:paraId="0FC318DE" w14:textId="77777777" w:rsidR="0083496A" w:rsidRPr="00442D31" w:rsidRDefault="0083496A" w:rsidP="00DE1F59">
            <w:pPr>
              <w:spacing w:after="0" w:line="240" w:lineRule="auto"/>
              <w:textAlignment w:val="baseline"/>
              <w:rPr>
                <w:rFonts w:asciiTheme="majorBidi" w:eastAsia="Times New Roman" w:hAnsiTheme="majorBidi" w:cstheme="majorBidi"/>
                <w:color w:val="000000"/>
                <w:kern w:val="0"/>
                <w:sz w:val="20"/>
                <w:szCs w:val="20"/>
                <w14:ligatures w14:val="none"/>
              </w:rPr>
            </w:pPr>
            <w:r w:rsidRPr="00442D31">
              <w:rPr>
                <w:rFonts w:asciiTheme="majorBidi" w:eastAsia="Times New Roman" w:hAnsiTheme="majorBidi" w:cstheme="majorBidi"/>
                <w:color w:val="000000"/>
                <w:kern w:val="0"/>
                <w:sz w:val="20"/>
                <w:szCs w:val="20"/>
                <w14:ligatures w14:val="none"/>
              </w:rPr>
              <w:t>Action(s) de suivi/Étapes suivantes </w:t>
            </w:r>
          </w:p>
        </w:tc>
      </w:tr>
      <w:tr w:rsidR="0083496A" w:rsidRPr="00442D31" w14:paraId="37ACB15E" w14:textId="77777777" w:rsidTr="00DE1F59">
        <w:trPr>
          <w:trHeight w:val="300"/>
        </w:trPr>
        <w:tc>
          <w:tcPr>
            <w:tcW w:w="2655" w:type="dxa"/>
            <w:tcBorders>
              <w:top w:val="single" w:sz="6" w:space="0" w:color="auto"/>
              <w:left w:val="single" w:sz="6" w:space="0" w:color="auto"/>
              <w:bottom w:val="single" w:sz="6" w:space="0" w:color="auto"/>
              <w:right w:val="single" w:sz="6" w:space="0" w:color="auto"/>
            </w:tcBorders>
            <w:hideMark/>
          </w:tcPr>
          <w:p w14:paraId="1DAB969C" w14:textId="77777777" w:rsidR="0083496A" w:rsidRPr="00442D31" w:rsidRDefault="0083496A" w:rsidP="00DE1F59">
            <w:pPr>
              <w:spacing w:after="0" w:line="240" w:lineRule="auto"/>
              <w:jc w:val="both"/>
              <w:textAlignment w:val="baseline"/>
              <w:rPr>
                <w:rFonts w:asciiTheme="majorBidi" w:eastAsia="Times New Roman" w:hAnsiTheme="majorBidi" w:cstheme="majorBidi"/>
                <w:color w:val="000000"/>
                <w:kern w:val="0"/>
                <w:sz w:val="20"/>
                <w:szCs w:val="20"/>
                <w14:ligatures w14:val="none"/>
              </w:rPr>
            </w:pPr>
            <w:r w:rsidRPr="00442D31">
              <w:rPr>
                <w:rFonts w:asciiTheme="majorBidi" w:eastAsia="Times New Roman" w:hAnsiTheme="majorBidi" w:cstheme="majorBidi"/>
                <w:color w:val="000000"/>
                <w:kern w:val="0"/>
                <w:sz w:val="20"/>
                <w:szCs w:val="20"/>
                <w14:ligatures w14:val="none"/>
              </w:rPr>
              <w:t> </w:t>
            </w:r>
          </w:p>
        </w:tc>
        <w:tc>
          <w:tcPr>
            <w:tcW w:w="2025" w:type="dxa"/>
            <w:tcBorders>
              <w:top w:val="single" w:sz="6" w:space="0" w:color="auto"/>
              <w:left w:val="single" w:sz="6" w:space="0" w:color="auto"/>
              <w:bottom w:val="single" w:sz="6" w:space="0" w:color="auto"/>
              <w:right w:val="single" w:sz="6" w:space="0" w:color="auto"/>
            </w:tcBorders>
            <w:hideMark/>
          </w:tcPr>
          <w:p w14:paraId="5ABDADDF" w14:textId="77777777" w:rsidR="0083496A" w:rsidRPr="00442D31" w:rsidRDefault="0083496A" w:rsidP="00DE1F59">
            <w:pPr>
              <w:spacing w:after="0" w:line="240" w:lineRule="auto"/>
              <w:jc w:val="both"/>
              <w:textAlignment w:val="baseline"/>
              <w:rPr>
                <w:rFonts w:asciiTheme="majorBidi" w:eastAsia="Times New Roman" w:hAnsiTheme="majorBidi" w:cstheme="majorBidi"/>
                <w:color w:val="000000"/>
                <w:kern w:val="0"/>
                <w:sz w:val="20"/>
                <w:szCs w:val="20"/>
                <w14:ligatures w14:val="none"/>
              </w:rPr>
            </w:pPr>
            <w:r w:rsidRPr="00442D31">
              <w:rPr>
                <w:rFonts w:asciiTheme="majorBidi" w:eastAsia="Times New Roman" w:hAnsiTheme="majorBidi" w:cstheme="majorBidi"/>
                <w:color w:val="000000"/>
                <w:kern w:val="0"/>
                <w:sz w:val="20"/>
                <w:szCs w:val="20"/>
                <w14:ligatures w14:val="none"/>
              </w:rPr>
              <w:t> </w:t>
            </w:r>
          </w:p>
        </w:tc>
        <w:tc>
          <w:tcPr>
            <w:tcW w:w="2505" w:type="dxa"/>
            <w:tcBorders>
              <w:top w:val="single" w:sz="6" w:space="0" w:color="auto"/>
              <w:left w:val="single" w:sz="6" w:space="0" w:color="auto"/>
              <w:bottom w:val="single" w:sz="6" w:space="0" w:color="auto"/>
              <w:right w:val="single" w:sz="6" w:space="0" w:color="auto"/>
            </w:tcBorders>
            <w:hideMark/>
          </w:tcPr>
          <w:p w14:paraId="39C41DA0" w14:textId="77777777" w:rsidR="0083496A" w:rsidRPr="00442D31" w:rsidRDefault="0083496A" w:rsidP="00DE1F59">
            <w:pPr>
              <w:spacing w:after="0" w:line="240" w:lineRule="auto"/>
              <w:jc w:val="both"/>
              <w:textAlignment w:val="baseline"/>
              <w:rPr>
                <w:rFonts w:asciiTheme="majorBidi" w:eastAsia="Times New Roman" w:hAnsiTheme="majorBidi" w:cstheme="majorBidi"/>
                <w:color w:val="000000"/>
                <w:kern w:val="0"/>
                <w:sz w:val="20"/>
                <w:szCs w:val="20"/>
                <w14:ligatures w14:val="none"/>
              </w:rPr>
            </w:pPr>
            <w:r w:rsidRPr="00442D31">
              <w:rPr>
                <w:rFonts w:asciiTheme="majorBidi" w:eastAsia="Times New Roman" w:hAnsiTheme="majorBidi" w:cstheme="majorBidi"/>
                <w:color w:val="000000"/>
                <w:kern w:val="0"/>
                <w:sz w:val="20"/>
                <w:szCs w:val="20"/>
                <w14:ligatures w14:val="none"/>
              </w:rPr>
              <w:t> </w:t>
            </w:r>
          </w:p>
        </w:tc>
        <w:tc>
          <w:tcPr>
            <w:tcW w:w="2520" w:type="dxa"/>
            <w:tcBorders>
              <w:top w:val="single" w:sz="6" w:space="0" w:color="auto"/>
              <w:left w:val="single" w:sz="6" w:space="0" w:color="auto"/>
              <w:bottom w:val="single" w:sz="6" w:space="0" w:color="auto"/>
              <w:right w:val="single" w:sz="6" w:space="0" w:color="auto"/>
            </w:tcBorders>
            <w:hideMark/>
          </w:tcPr>
          <w:p w14:paraId="33B16642" w14:textId="77777777" w:rsidR="0083496A" w:rsidRPr="00442D31" w:rsidRDefault="0083496A" w:rsidP="00DE1F59">
            <w:pPr>
              <w:spacing w:after="0" w:line="240" w:lineRule="auto"/>
              <w:jc w:val="both"/>
              <w:textAlignment w:val="baseline"/>
              <w:rPr>
                <w:rFonts w:asciiTheme="majorBidi" w:eastAsia="Times New Roman" w:hAnsiTheme="majorBidi" w:cstheme="majorBidi"/>
                <w:color w:val="000000"/>
                <w:kern w:val="0"/>
                <w:sz w:val="20"/>
                <w:szCs w:val="20"/>
                <w14:ligatures w14:val="none"/>
              </w:rPr>
            </w:pPr>
            <w:r w:rsidRPr="00442D31">
              <w:rPr>
                <w:rFonts w:asciiTheme="majorBidi" w:eastAsia="Times New Roman" w:hAnsiTheme="majorBidi" w:cstheme="majorBidi"/>
                <w:color w:val="000000"/>
                <w:kern w:val="0"/>
                <w:sz w:val="20"/>
                <w:szCs w:val="20"/>
                <w14:ligatures w14:val="none"/>
              </w:rPr>
              <w:t> </w:t>
            </w:r>
          </w:p>
        </w:tc>
      </w:tr>
      <w:tr w:rsidR="0083496A" w:rsidRPr="00442D31" w14:paraId="120DDF86" w14:textId="77777777" w:rsidTr="00DE1F59">
        <w:trPr>
          <w:trHeight w:val="300"/>
        </w:trPr>
        <w:tc>
          <w:tcPr>
            <w:tcW w:w="2655" w:type="dxa"/>
            <w:tcBorders>
              <w:top w:val="single" w:sz="6" w:space="0" w:color="auto"/>
              <w:left w:val="single" w:sz="6" w:space="0" w:color="auto"/>
              <w:bottom w:val="single" w:sz="6" w:space="0" w:color="auto"/>
              <w:right w:val="single" w:sz="6" w:space="0" w:color="auto"/>
            </w:tcBorders>
            <w:hideMark/>
          </w:tcPr>
          <w:p w14:paraId="771D303F" w14:textId="77777777" w:rsidR="0083496A" w:rsidRPr="00442D31" w:rsidRDefault="0083496A" w:rsidP="00DE1F59">
            <w:pPr>
              <w:spacing w:after="0" w:line="240" w:lineRule="auto"/>
              <w:jc w:val="both"/>
              <w:textAlignment w:val="baseline"/>
              <w:rPr>
                <w:rFonts w:asciiTheme="majorBidi" w:eastAsia="Times New Roman" w:hAnsiTheme="majorBidi" w:cstheme="majorBidi"/>
                <w:color w:val="000000"/>
                <w:kern w:val="0"/>
                <w:sz w:val="20"/>
                <w:szCs w:val="20"/>
                <w14:ligatures w14:val="none"/>
              </w:rPr>
            </w:pPr>
            <w:r w:rsidRPr="00442D31">
              <w:rPr>
                <w:rFonts w:asciiTheme="majorBidi" w:eastAsia="Times New Roman" w:hAnsiTheme="majorBidi" w:cstheme="majorBidi"/>
                <w:color w:val="000000"/>
                <w:kern w:val="0"/>
                <w:sz w:val="20"/>
                <w:szCs w:val="20"/>
                <w14:ligatures w14:val="none"/>
              </w:rPr>
              <w:t> </w:t>
            </w:r>
          </w:p>
        </w:tc>
        <w:tc>
          <w:tcPr>
            <w:tcW w:w="2025" w:type="dxa"/>
            <w:tcBorders>
              <w:top w:val="single" w:sz="6" w:space="0" w:color="auto"/>
              <w:left w:val="single" w:sz="6" w:space="0" w:color="auto"/>
              <w:bottom w:val="single" w:sz="6" w:space="0" w:color="auto"/>
              <w:right w:val="single" w:sz="6" w:space="0" w:color="auto"/>
            </w:tcBorders>
            <w:hideMark/>
          </w:tcPr>
          <w:p w14:paraId="35D0DD91" w14:textId="77777777" w:rsidR="0083496A" w:rsidRPr="00442D31" w:rsidRDefault="0083496A" w:rsidP="00DE1F59">
            <w:pPr>
              <w:spacing w:after="0" w:line="240" w:lineRule="auto"/>
              <w:jc w:val="both"/>
              <w:textAlignment w:val="baseline"/>
              <w:rPr>
                <w:rFonts w:asciiTheme="majorBidi" w:eastAsia="Times New Roman" w:hAnsiTheme="majorBidi" w:cstheme="majorBidi"/>
                <w:color w:val="000000"/>
                <w:kern w:val="0"/>
                <w:sz w:val="20"/>
                <w:szCs w:val="20"/>
                <w14:ligatures w14:val="none"/>
              </w:rPr>
            </w:pPr>
            <w:r w:rsidRPr="00442D31">
              <w:rPr>
                <w:rFonts w:asciiTheme="majorBidi" w:eastAsia="Times New Roman" w:hAnsiTheme="majorBidi" w:cstheme="majorBidi"/>
                <w:color w:val="000000"/>
                <w:kern w:val="0"/>
                <w:sz w:val="20"/>
                <w:szCs w:val="20"/>
                <w14:ligatures w14:val="none"/>
              </w:rPr>
              <w:t> </w:t>
            </w:r>
          </w:p>
        </w:tc>
        <w:tc>
          <w:tcPr>
            <w:tcW w:w="2505" w:type="dxa"/>
            <w:tcBorders>
              <w:top w:val="single" w:sz="6" w:space="0" w:color="auto"/>
              <w:left w:val="single" w:sz="6" w:space="0" w:color="auto"/>
              <w:bottom w:val="single" w:sz="6" w:space="0" w:color="auto"/>
              <w:right w:val="single" w:sz="6" w:space="0" w:color="auto"/>
            </w:tcBorders>
            <w:hideMark/>
          </w:tcPr>
          <w:p w14:paraId="28D0E71B" w14:textId="77777777" w:rsidR="0083496A" w:rsidRPr="00442D31" w:rsidRDefault="0083496A" w:rsidP="00DE1F59">
            <w:pPr>
              <w:spacing w:after="0" w:line="240" w:lineRule="auto"/>
              <w:jc w:val="both"/>
              <w:textAlignment w:val="baseline"/>
              <w:rPr>
                <w:rFonts w:asciiTheme="majorBidi" w:eastAsia="Times New Roman" w:hAnsiTheme="majorBidi" w:cstheme="majorBidi"/>
                <w:color w:val="000000"/>
                <w:kern w:val="0"/>
                <w:sz w:val="20"/>
                <w:szCs w:val="20"/>
                <w14:ligatures w14:val="none"/>
              </w:rPr>
            </w:pPr>
            <w:r w:rsidRPr="00442D31">
              <w:rPr>
                <w:rFonts w:asciiTheme="majorBidi" w:eastAsia="Times New Roman" w:hAnsiTheme="majorBidi" w:cstheme="majorBidi"/>
                <w:color w:val="000000"/>
                <w:kern w:val="0"/>
                <w:sz w:val="20"/>
                <w:szCs w:val="20"/>
                <w14:ligatures w14:val="none"/>
              </w:rPr>
              <w:t> </w:t>
            </w:r>
          </w:p>
        </w:tc>
        <w:tc>
          <w:tcPr>
            <w:tcW w:w="2520" w:type="dxa"/>
            <w:tcBorders>
              <w:top w:val="single" w:sz="6" w:space="0" w:color="auto"/>
              <w:left w:val="single" w:sz="6" w:space="0" w:color="auto"/>
              <w:bottom w:val="single" w:sz="6" w:space="0" w:color="auto"/>
              <w:right w:val="single" w:sz="6" w:space="0" w:color="auto"/>
            </w:tcBorders>
            <w:hideMark/>
          </w:tcPr>
          <w:p w14:paraId="713ED212" w14:textId="77777777" w:rsidR="0083496A" w:rsidRPr="00442D31" w:rsidRDefault="0083496A" w:rsidP="00DE1F59">
            <w:pPr>
              <w:spacing w:after="0" w:line="240" w:lineRule="auto"/>
              <w:jc w:val="both"/>
              <w:textAlignment w:val="baseline"/>
              <w:rPr>
                <w:rFonts w:asciiTheme="majorBidi" w:eastAsia="Times New Roman" w:hAnsiTheme="majorBidi" w:cstheme="majorBidi"/>
                <w:color w:val="000000"/>
                <w:kern w:val="0"/>
                <w:sz w:val="20"/>
                <w:szCs w:val="20"/>
                <w14:ligatures w14:val="none"/>
              </w:rPr>
            </w:pPr>
            <w:r w:rsidRPr="00442D31">
              <w:rPr>
                <w:rFonts w:asciiTheme="majorBidi" w:eastAsia="Times New Roman" w:hAnsiTheme="majorBidi" w:cstheme="majorBidi"/>
                <w:color w:val="000000"/>
                <w:kern w:val="0"/>
                <w:sz w:val="20"/>
                <w:szCs w:val="20"/>
                <w14:ligatures w14:val="none"/>
              </w:rPr>
              <w:t> </w:t>
            </w:r>
          </w:p>
        </w:tc>
      </w:tr>
    </w:tbl>
    <w:p w14:paraId="3944C935" w14:textId="01636C17" w:rsidR="0083496A" w:rsidRPr="00DD76DA" w:rsidRDefault="0083496A" w:rsidP="000F6AF8">
      <w:pPr>
        <w:pStyle w:val="ListParagraph"/>
        <w:spacing w:after="0" w:line="240" w:lineRule="auto"/>
        <w:jc w:val="both"/>
        <w:textAlignment w:val="baseline"/>
        <w:rPr>
          <w:rFonts w:ascii="Segoe UI" w:eastAsia="Times New Roman" w:hAnsi="Segoe UI" w:cs="Segoe UI"/>
          <w:color w:val="000000"/>
          <w:kern w:val="0"/>
          <w:sz w:val="18"/>
          <w:szCs w:val="18"/>
          <w14:ligatures w14:val="none"/>
        </w:rPr>
      </w:pPr>
    </w:p>
    <w:p w14:paraId="412D0BBB" w14:textId="255E6080" w:rsidR="0083496A" w:rsidRPr="00DD76DA" w:rsidRDefault="0083496A" w:rsidP="0083496A">
      <w:pPr>
        <w:rPr>
          <w:b/>
          <w:bCs/>
          <w:sz w:val="24"/>
          <w:szCs w:val="24"/>
        </w:rPr>
      </w:pPr>
      <w:r w:rsidRPr="00DD76DA">
        <w:rPr>
          <w:b/>
          <w:bCs/>
          <w:sz w:val="24"/>
          <w:szCs w:val="24"/>
        </w:rPr>
        <w:t>Annexe </w:t>
      </w:r>
      <w:r w:rsidR="000F6AF8">
        <w:rPr>
          <w:b/>
          <w:bCs/>
          <w:sz w:val="24"/>
          <w:szCs w:val="24"/>
        </w:rPr>
        <w:t>2</w:t>
      </w:r>
      <w:r w:rsidRPr="00DD76DA">
        <w:rPr>
          <w:b/>
          <w:bCs/>
          <w:sz w:val="24"/>
          <w:szCs w:val="24"/>
        </w:rPr>
        <w:t>. Exemple de tableau : Suivi de la mise en œuvre du PMPP et rapports </w:t>
      </w:r>
    </w:p>
    <w:tbl>
      <w:tblPr>
        <w:tblW w:w="10338" w:type="dxa"/>
        <w:tblInd w:w="-54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59"/>
        <w:gridCol w:w="2473"/>
        <w:gridCol w:w="4158"/>
        <w:gridCol w:w="2148"/>
      </w:tblGrid>
      <w:tr w:rsidR="0083496A" w:rsidRPr="00442D31" w14:paraId="6E378F82" w14:textId="77777777" w:rsidTr="00442D31">
        <w:trPr>
          <w:trHeight w:val="480"/>
        </w:trPr>
        <w:tc>
          <w:tcPr>
            <w:tcW w:w="1559" w:type="dxa"/>
            <w:tcBorders>
              <w:top w:val="single" w:sz="6" w:space="0" w:color="auto"/>
              <w:left w:val="single" w:sz="6" w:space="0" w:color="auto"/>
              <w:bottom w:val="single" w:sz="6" w:space="0" w:color="auto"/>
              <w:right w:val="single" w:sz="6" w:space="0" w:color="auto"/>
            </w:tcBorders>
            <w:hideMark/>
          </w:tcPr>
          <w:p w14:paraId="7827E00B" w14:textId="77777777" w:rsidR="0083496A" w:rsidRPr="00442D31" w:rsidRDefault="0083496A" w:rsidP="00DE1F59">
            <w:pPr>
              <w:rPr>
                <w:rFonts w:asciiTheme="majorBidi" w:hAnsiTheme="majorBidi" w:cstheme="majorBidi"/>
                <w:b/>
                <w:bCs/>
                <w:sz w:val="20"/>
                <w:szCs w:val="20"/>
              </w:rPr>
            </w:pPr>
            <w:r w:rsidRPr="00442D31">
              <w:rPr>
                <w:rFonts w:asciiTheme="majorBidi" w:hAnsiTheme="majorBidi" w:cstheme="majorBidi"/>
                <w:b/>
                <w:bCs/>
                <w:sz w:val="20"/>
                <w:szCs w:val="20"/>
              </w:rPr>
              <w:t>Questions d’évaluation clés </w:t>
            </w:r>
          </w:p>
        </w:tc>
        <w:tc>
          <w:tcPr>
            <w:tcW w:w="2473" w:type="dxa"/>
            <w:tcBorders>
              <w:top w:val="single" w:sz="6" w:space="0" w:color="auto"/>
              <w:left w:val="single" w:sz="6" w:space="0" w:color="auto"/>
              <w:bottom w:val="single" w:sz="6" w:space="0" w:color="auto"/>
              <w:right w:val="single" w:sz="6" w:space="0" w:color="auto"/>
            </w:tcBorders>
            <w:hideMark/>
          </w:tcPr>
          <w:p w14:paraId="2CCB0168" w14:textId="77777777" w:rsidR="0083496A" w:rsidRPr="00442D31" w:rsidRDefault="0083496A" w:rsidP="00DE1F59">
            <w:pPr>
              <w:rPr>
                <w:rFonts w:asciiTheme="majorBidi" w:hAnsiTheme="majorBidi" w:cstheme="majorBidi"/>
                <w:b/>
                <w:bCs/>
                <w:sz w:val="20"/>
                <w:szCs w:val="20"/>
              </w:rPr>
            </w:pPr>
            <w:r w:rsidRPr="00442D31">
              <w:rPr>
                <w:rFonts w:asciiTheme="majorBidi" w:hAnsiTheme="majorBidi" w:cstheme="majorBidi"/>
                <w:b/>
                <w:bCs/>
                <w:sz w:val="20"/>
                <w:szCs w:val="20"/>
              </w:rPr>
              <w:t>Questions d’évaluation spécifiques </w:t>
            </w:r>
          </w:p>
        </w:tc>
        <w:tc>
          <w:tcPr>
            <w:tcW w:w="4158" w:type="dxa"/>
            <w:tcBorders>
              <w:top w:val="single" w:sz="6" w:space="0" w:color="auto"/>
              <w:left w:val="single" w:sz="6" w:space="0" w:color="auto"/>
              <w:bottom w:val="single" w:sz="6" w:space="0" w:color="auto"/>
              <w:right w:val="single" w:sz="6" w:space="0" w:color="auto"/>
            </w:tcBorders>
            <w:hideMark/>
          </w:tcPr>
          <w:p w14:paraId="0301AC8E" w14:textId="77777777" w:rsidR="0083496A" w:rsidRPr="00442D31" w:rsidRDefault="0083496A" w:rsidP="00DE1F59">
            <w:pPr>
              <w:rPr>
                <w:rFonts w:asciiTheme="majorBidi" w:hAnsiTheme="majorBidi" w:cstheme="majorBidi"/>
                <w:b/>
                <w:bCs/>
                <w:sz w:val="20"/>
                <w:szCs w:val="20"/>
              </w:rPr>
            </w:pPr>
            <w:r w:rsidRPr="00442D31">
              <w:rPr>
                <w:rFonts w:asciiTheme="majorBidi" w:hAnsiTheme="majorBidi" w:cstheme="majorBidi"/>
                <w:b/>
                <w:bCs/>
                <w:sz w:val="20"/>
                <w:szCs w:val="20"/>
              </w:rPr>
              <w:t>Indicateurs potentiels </w:t>
            </w:r>
          </w:p>
        </w:tc>
        <w:tc>
          <w:tcPr>
            <w:tcW w:w="2148" w:type="dxa"/>
            <w:tcBorders>
              <w:top w:val="single" w:sz="6" w:space="0" w:color="auto"/>
              <w:left w:val="single" w:sz="6" w:space="0" w:color="auto"/>
              <w:bottom w:val="single" w:sz="6" w:space="0" w:color="auto"/>
              <w:right w:val="single" w:sz="6" w:space="0" w:color="auto"/>
            </w:tcBorders>
            <w:hideMark/>
          </w:tcPr>
          <w:p w14:paraId="724578C8" w14:textId="77777777" w:rsidR="0083496A" w:rsidRPr="00442D31" w:rsidRDefault="0083496A" w:rsidP="00DE1F59">
            <w:pPr>
              <w:rPr>
                <w:rFonts w:asciiTheme="majorBidi" w:hAnsiTheme="majorBidi" w:cstheme="majorBidi"/>
                <w:b/>
                <w:bCs/>
                <w:sz w:val="20"/>
                <w:szCs w:val="20"/>
              </w:rPr>
            </w:pPr>
            <w:r w:rsidRPr="00442D31">
              <w:rPr>
                <w:rFonts w:asciiTheme="majorBidi" w:hAnsiTheme="majorBidi" w:cstheme="majorBidi"/>
                <w:b/>
                <w:bCs/>
                <w:sz w:val="20"/>
                <w:szCs w:val="20"/>
              </w:rPr>
              <w:t>Méthodes de collecte de données </w:t>
            </w:r>
          </w:p>
        </w:tc>
      </w:tr>
      <w:tr w:rsidR="0083496A" w:rsidRPr="00442D31" w14:paraId="1408A8CD" w14:textId="77777777" w:rsidTr="00442D31">
        <w:trPr>
          <w:trHeight w:val="525"/>
        </w:trPr>
        <w:tc>
          <w:tcPr>
            <w:tcW w:w="1559" w:type="dxa"/>
            <w:tcBorders>
              <w:top w:val="single" w:sz="6" w:space="0" w:color="auto"/>
              <w:left w:val="single" w:sz="6" w:space="0" w:color="auto"/>
              <w:bottom w:val="single" w:sz="6" w:space="0" w:color="auto"/>
              <w:right w:val="single" w:sz="6" w:space="0" w:color="auto"/>
            </w:tcBorders>
            <w:hideMark/>
          </w:tcPr>
          <w:p w14:paraId="648972EC" w14:textId="77777777" w:rsidR="0083496A" w:rsidRPr="00442D31" w:rsidRDefault="0083496A" w:rsidP="00DE1F59">
            <w:pPr>
              <w:rPr>
                <w:rFonts w:asciiTheme="majorBidi" w:hAnsiTheme="majorBidi" w:cstheme="majorBidi"/>
                <w:sz w:val="20"/>
                <w:szCs w:val="20"/>
              </w:rPr>
            </w:pPr>
            <w:r w:rsidRPr="00442D31">
              <w:rPr>
                <w:rFonts w:asciiTheme="majorBidi" w:hAnsiTheme="majorBidi" w:cstheme="majorBidi"/>
                <w:sz w:val="20"/>
                <w:szCs w:val="20"/>
              </w:rPr>
              <w:t>Mécanisme de gestion des plaintes. Dans quelle mesure les parties touchées par le projet ont-elles accès à des mécanismes accessibles et ouverts à tous pour évoquer leurs préoccupations et porter plainte ? L’organisme d’exécution a-t-il répondu à ces plaintes et les a-t-il gérées ? </w:t>
            </w:r>
          </w:p>
        </w:tc>
        <w:tc>
          <w:tcPr>
            <w:tcW w:w="2473" w:type="dxa"/>
            <w:tcBorders>
              <w:top w:val="single" w:sz="6" w:space="0" w:color="auto"/>
              <w:left w:val="single" w:sz="6" w:space="0" w:color="auto"/>
              <w:bottom w:val="single" w:sz="6" w:space="0" w:color="auto"/>
              <w:right w:val="single" w:sz="6" w:space="0" w:color="auto"/>
            </w:tcBorders>
            <w:hideMark/>
          </w:tcPr>
          <w:p w14:paraId="080ABBF4" w14:textId="77777777" w:rsidR="0083496A" w:rsidRPr="00442D31" w:rsidRDefault="0083496A">
            <w:pPr>
              <w:numPr>
                <w:ilvl w:val="0"/>
                <w:numId w:val="10"/>
              </w:numPr>
              <w:rPr>
                <w:rFonts w:asciiTheme="majorBidi" w:hAnsiTheme="majorBidi" w:cstheme="majorBidi"/>
                <w:sz w:val="20"/>
                <w:szCs w:val="20"/>
              </w:rPr>
            </w:pPr>
            <w:r w:rsidRPr="00442D31">
              <w:rPr>
                <w:rFonts w:asciiTheme="majorBidi" w:hAnsiTheme="majorBidi" w:cstheme="majorBidi"/>
                <w:sz w:val="20"/>
                <w:szCs w:val="20"/>
              </w:rPr>
              <w:t>Les parties touchées par le projet formulent-elles des plaintes et des griefs ? </w:t>
            </w:r>
          </w:p>
          <w:p w14:paraId="1ED9288E" w14:textId="77777777" w:rsidR="0083496A" w:rsidRPr="00442D31" w:rsidRDefault="0083496A">
            <w:pPr>
              <w:numPr>
                <w:ilvl w:val="0"/>
                <w:numId w:val="11"/>
              </w:numPr>
              <w:rPr>
                <w:rFonts w:asciiTheme="majorBidi" w:hAnsiTheme="majorBidi" w:cstheme="majorBidi"/>
                <w:sz w:val="20"/>
                <w:szCs w:val="20"/>
              </w:rPr>
            </w:pPr>
            <w:r w:rsidRPr="00442D31">
              <w:rPr>
                <w:rFonts w:asciiTheme="majorBidi" w:hAnsiTheme="majorBidi" w:cstheme="majorBidi"/>
                <w:sz w:val="20"/>
                <w:szCs w:val="20"/>
              </w:rPr>
              <w:t>Avec quelle rapidité et efficacité les plaintes sont-elles réglées ? </w:t>
            </w:r>
          </w:p>
        </w:tc>
        <w:tc>
          <w:tcPr>
            <w:tcW w:w="4158" w:type="dxa"/>
            <w:tcBorders>
              <w:top w:val="single" w:sz="6" w:space="0" w:color="auto"/>
              <w:left w:val="single" w:sz="6" w:space="0" w:color="auto"/>
              <w:bottom w:val="single" w:sz="6" w:space="0" w:color="auto"/>
              <w:right w:val="single" w:sz="6" w:space="0" w:color="auto"/>
            </w:tcBorders>
            <w:hideMark/>
          </w:tcPr>
          <w:p w14:paraId="0BF589CF" w14:textId="77777777" w:rsidR="0083496A" w:rsidRPr="00442D31" w:rsidRDefault="0083496A">
            <w:pPr>
              <w:numPr>
                <w:ilvl w:val="0"/>
                <w:numId w:val="12"/>
              </w:numPr>
              <w:rPr>
                <w:rFonts w:asciiTheme="majorBidi" w:hAnsiTheme="majorBidi" w:cstheme="majorBidi"/>
                <w:sz w:val="20"/>
                <w:szCs w:val="20"/>
              </w:rPr>
            </w:pPr>
            <w:r w:rsidRPr="00442D31">
              <w:rPr>
                <w:rFonts w:asciiTheme="majorBidi" w:hAnsiTheme="majorBidi" w:cstheme="majorBidi"/>
                <w:sz w:val="20"/>
                <w:szCs w:val="20"/>
              </w:rPr>
              <w:t>Recours au mécanisme de gestion des plaintes et/ou à des mécanismes de retour d’information </w:t>
            </w:r>
          </w:p>
          <w:p w14:paraId="65B482D8" w14:textId="77777777" w:rsidR="0083496A" w:rsidRPr="00442D31" w:rsidRDefault="0083496A">
            <w:pPr>
              <w:numPr>
                <w:ilvl w:val="0"/>
                <w:numId w:val="13"/>
              </w:numPr>
              <w:rPr>
                <w:rFonts w:asciiTheme="majorBidi" w:hAnsiTheme="majorBidi" w:cstheme="majorBidi"/>
                <w:sz w:val="20"/>
                <w:szCs w:val="20"/>
              </w:rPr>
            </w:pPr>
            <w:r w:rsidRPr="00442D31">
              <w:rPr>
                <w:rFonts w:asciiTheme="majorBidi" w:hAnsiTheme="majorBidi" w:cstheme="majorBidi"/>
                <w:sz w:val="20"/>
                <w:szCs w:val="20"/>
              </w:rPr>
              <w:t>Demandes d’information émanant des organismes compétents   </w:t>
            </w:r>
          </w:p>
          <w:p w14:paraId="590C7E98" w14:textId="77777777" w:rsidR="0083496A" w:rsidRPr="00442D31" w:rsidRDefault="0083496A">
            <w:pPr>
              <w:numPr>
                <w:ilvl w:val="0"/>
                <w:numId w:val="14"/>
              </w:numPr>
              <w:rPr>
                <w:rFonts w:asciiTheme="majorBidi" w:hAnsiTheme="majorBidi" w:cstheme="majorBidi"/>
                <w:sz w:val="20"/>
                <w:szCs w:val="20"/>
              </w:rPr>
            </w:pPr>
            <w:r w:rsidRPr="00442D31">
              <w:rPr>
                <w:rFonts w:asciiTheme="majorBidi" w:hAnsiTheme="majorBidi" w:cstheme="majorBidi"/>
                <w:sz w:val="20"/>
                <w:szCs w:val="20"/>
              </w:rPr>
              <w:t>Utilisation de boîtes à suggestions installées dans les villages/communautés riveraines du projet </w:t>
            </w:r>
          </w:p>
          <w:p w14:paraId="4F617D29" w14:textId="77777777" w:rsidR="0083496A" w:rsidRPr="00442D31" w:rsidRDefault="0083496A">
            <w:pPr>
              <w:numPr>
                <w:ilvl w:val="0"/>
                <w:numId w:val="15"/>
              </w:numPr>
              <w:rPr>
                <w:rFonts w:asciiTheme="majorBidi" w:hAnsiTheme="majorBidi" w:cstheme="majorBidi"/>
                <w:b/>
                <w:bCs/>
                <w:sz w:val="20"/>
                <w:szCs w:val="20"/>
              </w:rPr>
            </w:pPr>
            <w:r w:rsidRPr="00442D31">
              <w:rPr>
                <w:rFonts w:asciiTheme="majorBidi" w:hAnsiTheme="majorBidi" w:cstheme="majorBidi"/>
                <w:sz w:val="20"/>
                <w:szCs w:val="20"/>
              </w:rPr>
              <w:t>Nombre de plaintes soumises par des travailleurs, ventilées par sexe et par chantier, réglées dans un délai déterminé</w:t>
            </w:r>
            <w:r w:rsidRPr="00442D31">
              <w:rPr>
                <w:rFonts w:asciiTheme="majorBidi" w:hAnsiTheme="majorBidi" w:cstheme="majorBidi"/>
                <w:b/>
                <w:bCs/>
                <w:sz w:val="20"/>
                <w:szCs w:val="20"/>
              </w:rPr>
              <w:t> </w:t>
            </w:r>
          </w:p>
          <w:p w14:paraId="6A0B75F8" w14:textId="77777777" w:rsidR="0083496A" w:rsidRPr="00442D31" w:rsidRDefault="0083496A">
            <w:pPr>
              <w:numPr>
                <w:ilvl w:val="0"/>
                <w:numId w:val="16"/>
              </w:numPr>
              <w:rPr>
                <w:rFonts w:asciiTheme="majorBidi" w:hAnsiTheme="majorBidi" w:cstheme="majorBidi"/>
                <w:sz w:val="20"/>
                <w:szCs w:val="20"/>
              </w:rPr>
            </w:pPr>
            <w:r w:rsidRPr="00442D31">
              <w:rPr>
                <w:rFonts w:asciiTheme="majorBidi" w:hAnsiTheme="majorBidi" w:cstheme="majorBidi"/>
                <w:sz w:val="20"/>
                <w:szCs w:val="20"/>
              </w:rPr>
              <w:t>Nombre de cas d’EAS/HS signalés dans les zones du projet, qui ont été orientés vers des services de santé, d’aide sociale, d’aide juridique et de sécurité conformément au processus d’orientation en place (s’il y a lieu) </w:t>
            </w:r>
          </w:p>
          <w:p w14:paraId="54B99065" w14:textId="77777777" w:rsidR="0083496A" w:rsidRPr="00442D31" w:rsidRDefault="0083496A">
            <w:pPr>
              <w:numPr>
                <w:ilvl w:val="0"/>
                <w:numId w:val="17"/>
              </w:numPr>
              <w:rPr>
                <w:rFonts w:asciiTheme="majorBidi" w:hAnsiTheme="majorBidi" w:cstheme="majorBidi"/>
                <w:sz w:val="20"/>
                <w:szCs w:val="20"/>
              </w:rPr>
            </w:pPr>
            <w:r w:rsidRPr="00442D31">
              <w:rPr>
                <w:rFonts w:asciiTheme="majorBidi" w:hAnsiTheme="majorBidi" w:cstheme="majorBidi"/>
                <w:sz w:val="20"/>
                <w:szCs w:val="20"/>
              </w:rPr>
              <w:t>Nombre de plaintes qui sont : i) en instance, ii) en instance depuis plus de 30 jours, iii) tranchées, iv) closes ; et nombre de réponses ayant satisfait les plaignants, durant la période considérée, ventilées par catégorie de plainte, par sexe, par âge et par emplacement du plaignant. </w:t>
            </w:r>
          </w:p>
        </w:tc>
        <w:tc>
          <w:tcPr>
            <w:tcW w:w="2148" w:type="dxa"/>
            <w:tcBorders>
              <w:top w:val="single" w:sz="6" w:space="0" w:color="auto"/>
              <w:left w:val="single" w:sz="6" w:space="0" w:color="auto"/>
              <w:bottom w:val="single" w:sz="6" w:space="0" w:color="auto"/>
              <w:right w:val="single" w:sz="6" w:space="0" w:color="auto"/>
            </w:tcBorders>
            <w:hideMark/>
          </w:tcPr>
          <w:p w14:paraId="6DE562B5" w14:textId="77777777" w:rsidR="0083496A" w:rsidRPr="00442D31" w:rsidRDefault="0083496A" w:rsidP="00DE1F59">
            <w:pPr>
              <w:rPr>
                <w:rFonts w:asciiTheme="majorBidi" w:hAnsiTheme="majorBidi" w:cstheme="majorBidi"/>
                <w:sz w:val="20"/>
                <w:szCs w:val="20"/>
              </w:rPr>
            </w:pPr>
            <w:r w:rsidRPr="00442D31">
              <w:rPr>
                <w:rFonts w:asciiTheme="majorBidi" w:hAnsiTheme="majorBidi" w:cstheme="majorBidi"/>
                <w:sz w:val="20"/>
                <w:szCs w:val="20"/>
              </w:rPr>
              <w:t>Dossiers de l’organisme d’exécution et d’autres agences concernées </w:t>
            </w:r>
          </w:p>
        </w:tc>
      </w:tr>
      <w:tr w:rsidR="0083496A" w:rsidRPr="00442D31" w14:paraId="3B4E2A02" w14:textId="77777777" w:rsidTr="00442D31">
        <w:trPr>
          <w:trHeight w:val="1605"/>
        </w:trPr>
        <w:tc>
          <w:tcPr>
            <w:tcW w:w="1559" w:type="dxa"/>
            <w:tcBorders>
              <w:top w:val="single" w:sz="6" w:space="0" w:color="auto"/>
              <w:left w:val="single" w:sz="6" w:space="0" w:color="auto"/>
              <w:bottom w:val="single" w:sz="6" w:space="0" w:color="auto"/>
              <w:right w:val="single" w:sz="6" w:space="0" w:color="auto"/>
            </w:tcBorders>
            <w:hideMark/>
          </w:tcPr>
          <w:p w14:paraId="2B407B71" w14:textId="77777777" w:rsidR="0083496A" w:rsidRPr="00442D31" w:rsidRDefault="0083496A" w:rsidP="00DE1F59">
            <w:pPr>
              <w:rPr>
                <w:rFonts w:asciiTheme="majorBidi" w:hAnsiTheme="majorBidi" w:cstheme="majorBidi"/>
                <w:sz w:val="20"/>
                <w:szCs w:val="20"/>
              </w:rPr>
            </w:pPr>
            <w:r w:rsidRPr="00442D31">
              <w:rPr>
                <w:rFonts w:asciiTheme="majorBidi" w:hAnsiTheme="majorBidi" w:cstheme="majorBidi"/>
                <w:sz w:val="20"/>
                <w:szCs w:val="20"/>
              </w:rPr>
              <w:t>Incidence de la mobilisation des parties prenantes sur la conception et la mise en œuvre des projets.  </w:t>
            </w:r>
          </w:p>
          <w:p w14:paraId="63CC7604" w14:textId="77777777" w:rsidR="0083496A" w:rsidRPr="00442D31" w:rsidRDefault="0083496A" w:rsidP="00DE1F59">
            <w:pPr>
              <w:rPr>
                <w:rFonts w:asciiTheme="majorBidi" w:hAnsiTheme="majorBidi" w:cstheme="majorBidi"/>
                <w:sz w:val="20"/>
                <w:szCs w:val="20"/>
              </w:rPr>
            </w:pPr>
            <w:r w:rsidRPr="00442D31">
              <w:rPr>
                <w:rFonts w:asciiTheme="majorBidi" w:hAnsiTheme="majorBidi" w:cstheme="majorBidi"/>
                <w:sz w:val="20"/>
                <w:szCs w:val="20"/>
              </w:rPr>
              <w:t xml:space="preserve">Dans quelle mesure les activités de mobilisation des parties prenantes ont-elles fait la </w:t>
            </w:r>
            <w:r w:rsidRPr="00442D31">
              <w:rPr>
                <w:rFonts w:asciiTheme="majorBidi" w:hAnsiTheme="majorBidi" w:cstheme="majorBidi"/>
                <w:sz w:val="20"/>
                <w:szCs w:val="20"/>
              </w:rPr>
              <w:lastRenderedPageBreak/>
              <w:t>différence dans la conception et la mise en œuvre du projet ? </w:t>
            </w:r>
          </w:p>
        </w:tc>
        <w:tc>
          <w:tcPr>
            <w:tcW w:w="2473" w:type="dxa"/>
            <w:tcBorders>
              <w:top w:val="single" w:sz="6" w:space="0" w:color="auto"/>
              <w:left w:val="single" w:sz="6" w:space="0" w:color="auto"/>
              <w:bottom w:val="single" w:sz="6" w:space="0" w:color="auto"/>
              <w:right w:val="single" w:sz="6" w:space="0" w:color="auto"/>
            </w:tcBorders>
            <w:hideMark/>
          </w:tcPr>
          <w:p w14:paraId="35D85ABC" w14:textId="77777777" w:rsidR="0083496A" w:rsidRPr="00442D31" w:rsidRDefault="0083496A">
            <w:pPr>
              <w:numPr>
                <w:ilvl w:val="0"/>
                <w:numId w:val="18"/>
              </w:numPr>
              <w:rPr>
                <w:rFonts w:asciiTheme="majorBidi" w:hAnsiTheme="majorBidi" w:cstheme="majorBidi"/>
                <w:sz w:val="20"/>
                <w:szCs w:val="20"/>
              </w:rPr>
            </w:pPr>
            <w:r w:rsidRPr="00442D31">
              <w:rPr>
                <w:rFonts w:asciiTheme="majorBidi" w:hAnsiTheme="majorBidi" w:cstheme="majorBidi"/>
                <w:sz w:val="20"/>
                <w:szCs w:val="20"/>
              </w:rPr>
              <w:lastRenderedPageBreak/>
              <w:t>Le projet a-t-il suscité un intérêt et reçu du soutien ? </w:t>
            </w:r>
          </w:p>
          <w:p w14:paraId="481DAB9F" w14:textId="77777777" w:rsidR="0083496A" w:rsidRPr="00442D31" w:rsidRDefault="0083496A">
            <w:pPr>
              <w:numPr>
                <w:ilvl w:val="0"/>
                <w:numId w:val="19"/>
              </w:numPr>
              <w:rPr>
                <w:rFonts w:asciiTheme="majorBidi" w:hAnsiTheme="majorBidi" w:cstheme="majorBidi"/>
                <w:sz w:val="20"/>
                <w:szCs w:val="20"/>
              </w:rPr>
            </w:pPr>
            <w:r w:rsidRPr="00442D31">
              <w:rPr>
                <w:rFonts w:asciiTheme="majorBidi" w:hAnsiTheme="majorBidi" w:cstheme="majorBidi"/>
                <w:sz w:val="20"/>
                <w:szCs w:val="20"/>
              </w:rPr>
              <w:t>Des ajustements ont-ils été opérés lors de la conception et de la mise en œuvre du projet sur la base des commentaires reçus ?   </w:t>
            </w:r>
          </w:p>
          <w:p w14:paraId="354DDDFC" w14:textId="77777777" w:rsidR="0083496A" w:rsidRPr="00442D31" w:rsidRDefault="0083496A">
            <w:pPr>
              <w:numPr>
                <w:ilvl w:val="0"/>
                <w:numId w:val="20"/>
              </w:numPr>
              <w:rPr>
                <w:rFonts w:asciiTheme="majorBidi" w:hAnsiTheme="majorBidi" w:cstheme="majorBidi"/>
                <w:sz w:val="20"/>
                <w:szCs w:val="20"/>
              </w:rPr>
            </w:pPr>
            <w:r w:rsidRPr="00442D31">
              <w:rPr>
                <w:rFonts w:asciiTheme="majorBidi" w:hAnsiTheme="majorBidi" w:cstheme="majorBidi"/>
                <w:sz w:val="20"/>
                <w:szCs w:val="20"/>
              </w:rPr>
              <w:t xml:space="preserve">Les informations sur les priorités ont-elles </w:t>
            </w:r>
            <w:r w:rsidRPr="00442D31">
              <w:rPr>
                <w:rFonts w:asciiTheme="majorBidi" w:hAnsiTheme="majorBidi" w:cstheme="majorBidi"/>
                <w:sz w:val="20"/>
                <w:szCs w:val="20"/>
              </w:rPr>
              <w:lastRenderedPageBreak/>
              <w:t>été communiquées aux parties concernées tout au long du cycle du projet ? </w:t>
            </w:r>
          </w:p>
          <w:p w14:paraId="0749E39E" w14:textId="77777777" w:rsidR="0083496A" w:rsidRPr="00442D31" w:rsidRDefault="0083496A" w:rsidP="00DE1F59">
            <w:pPr>
              <w:rPr>
                <w:rFonts w:asciiTheme="majorBidi" w:hAnsiTheme="majorBidi" w:cstheme="majorBidi"/>
                <w:sz w:val="20"/>
                <w:szCs w:val="20"/>
              </w:rPr>
            </w:pPr>
            <w:r w:rsidRPr="00442D31">
              <w:rPr>
                <w:rFonts w:asciiTheme="majorBidi" w:hAnsiTheme="majorBidi" w:cstheme="majorBidi"/>
                <w:sz w:val="20"/>
                <w:szCs w:val="20"/>
              </w:rPr>
              <w:t> </w:t>
            </w:r>
          </w:p>
        </w:tc>
        <w:tc>
          <w:tcPr>
            <w:tcW w:w="4158" w:type="dxa"/>
            <w:tcBorders>
              <w:top w:val="single" w:sz="6" w:space="0" w:color="auto"/>
              <w:left w:val="single" w:sz="6" w:space="0" w:color="auto"/>
              <w:bottom w:val="single" w:sz="6" w:space="0" w:color="auto"/>
              <w:right w:val="single" w:sz="6" w:space="0" w:color="auto"/>
            </w:tcBorders>
            <w:hideMark/>
          </w:tcPr>
          <w:p w14:paraId="38ADDA6C" w14:textId="77777777" w:rsidR="0083496A" w:rsidRPr="00442D31" w:rsidRDefault="0083496A">
            <w:pPr>
              <w:numPr>
                <w:ilvl w:val="0"/>
                <w:numId w:val="21"/>
              </w:numPr>
              <w:rPr>
                <w:rFonts w:asciiTheme="majorBidi" w:hAnsiTheme="majorBidi" w:cstheme="majorBidi"/>
                <w:sz w:val="20"/>
                <w:szCs w:val="20"/>
              </w:rPr>
            </w:pPr>
            <w:r w:rsidRPr="00442D31">
              <w:rPr>
                <w:rFonts w:asciiTheme="majorBidi" w:hAnsiTheme="majorBidi" w:cstheme="majorBidi"/>
                <w:sz w:val="20"/>
                <w:szCs w:val="20"/>
              </w:rPr>
              <w:lastRenderedPageBreak/>
              <w:t>Participation active des parties prenantes aux activités </w:t>
            </w:r>
          </w:p>
          <w:p w14:paraId="00A139A7" w14:textId="77777777" w:rsidR="0083496A" w:rsidRPr="00442D31" w:rsidRDefault="0083496A">
            <w:pPr>
              <w:numPr>
                <w:ilvl w:val="0"/>
                <w:numId w:val="22"/>
              </w:numPr>
              <w:rPr>
                <w:rFonts w:asciiTheme="majorBidi" w:hAnsiTheme="majorBidi" w:cstheme="majorBidi"/>
                <w:sz w:val="20"/>
                <w:szCs w:val="20"/>
              </w:rPr>
            </w:pPr>
            <w:r w:rsidRPr="00442D31">
              <w:rPr>
                <w:rFonts w:asciiTheme="majorBidi" w:hAnsiTheme="majorBidi" w:cstheme="majorBidi"/>
                <w:sz w:val="20"/>
                <w:szCs w:val="20"/>
              </w:rPr>
              <w:t>Nombre de mesures prises en temps opportun en réponse aux commentaires reçus lors des séances de consultation avec les parties touchées par le projet </w:t>
            </w:r>
          </w:p>
          <w:p w14:paraId="442D7C08" w14:textId="77777777" w:rsidR="0083496A" w:rsidRPr="00442D31" w:rsidRDefault="0083496A">
            <w:pPr>
              <w:numPr>
                <w:ilvl w:val="0"/>
                <w:numId w:val="23"/>
              </w:numPr>
              <w:rPr>
                <w:rFonts w:asciiTheme="majorBidi" w:hAnsiTheme="majorBidi" w:cstheme="majorBidi"/>
                <w:b/>
                <w:bCs/>
                <w:sz w:val="20"/>
                <w:szCs w:val="20"/>
              </w:rPr>
            </w:pPr>
            <w:r w:rsidRPr="00442D31">
              <w:rPr>
                <w:rFonts w:asciiTheme="majorBidi" w:hAnsiTheme="majorBidi" w:cstheme="majorBidi"/>
                <w:sz w:val="20"/>
                <w:szCs w:val="20"/>
              </w:rPr>
              <w:t>Nombre de réunions de consultation et de débats publics où les réactions et recommandations reçues sont prises en compte dans la conception et la mise en œuvre du projet</w:t>
            </w:r>
            <w:r w:rsidRPr="00442D31">
              <w:rPr>
                <w:rFonts w:asciiTheme="majorBidi" w:hAnsiTheme="majorBidi" w:cstheme="majorBidi"/>
                <w:b/>
                <w:bCs/>
                <w:sz w:val="20"/>
                <w:szCs w:val="20"/>
              </w:rPr>
              <w:t> </w:t>
            </w:r>
          </w:p>
          <w:p w14:paraId="1FFC19DF" w14:textId="77777777" w:rsidR="0083496A" w:rsidRPr="00442D31" w:rsidRDefault="0083496A">
            <w:pPr>
              <w:numPr>
                <w:ilvl w:val="0"/>
                <w:numId w:val="24"/>
              </w:numPr>
              <w:rPr>
                <w:rFonts w:asciiTheme="majorBidi" w:hAnsiTheme="majorBidi" w:cstheme="majorBidi"/>
                <w:sz w:val="20"/>
                <w:szCs w:val="20"/>
              </w:rPr>
            </w:pPr>
            <w:r w:rsidRPr="00442D31">
              <w:rPr>
                <w:rFonts w:asciiTheme="majorBidi" w:hAnsiTheme="majorBidi" w:cstheme="majorBidi"/>
                <w:sz w:val="20"/>
                <w:szCs w:val="20"/>
              </w:rPr>
              <w:lastRenderedPageBreak/>
              <w:t>Nombre de séances de consultation ciblées organisées, surtout pour les groupes à risque du fait du projet </w:t>
            </w:r>
          </w:p>
        </w:tc>
        <w:tc>
          <w:tcPr>
            <w:tcW w:w="2148" w:type="dxa"/>
            <w:tcBorders>
              <w:top w:val="single" w:sz="6" w:space="0" w:color="auto"/>
              <w:left w:val="single" w:sz="6" w:space="0" w:color="auto"/>
              <w:bottom w:val="single" w:sz="6" w:space="0" w:color="auto"/>
              <w:right w:val="single" w:sz="6" w:space="0" w:color="auto"/>
            </w:tcBorders>
            <w:hideMark/>
          </w:tcPr>
          <w:p w14:paraId="25795296" w14:textId="77777777" w:rsidR="0083496A" w:rsidRPr="00442D31" w:rsidRDefault="0083496A" w:rsidP="00DE1F59">
            <w:pPr>
              <w:rPr>
                <w:rFonts w:asciiTheme="majorBidi" w:hAnsiTheme="majorBidi" w:cstheme="majorBidi"/>
                <w:sz w:val="20"/>
                <w:szCs w:val="20"/>
              </w:rPr>
            </w:pPr>
            <w:r w:rsidRPr="00442D31">
              <w:rPr>
                <w:rFonts w:asciiTheme="majorBidi" w:hAnsiTheme="majorBidi" w:cstheme="majorBidi"/>
                <w:sz w:val="20"/>
                <w:szCs w:val="20"/>
              </w:rPr>
              <w:lastRenderedPageBreak/>
              <w:t>Feuilles de présence/procès-verbaux de consultation des parties prenantes </w:t>
            </w:r>
          </w:p>
          <w:p w14:paraId="3A61FE6A" w14:textId="77777777" w:rsidR="0083496A" w:rsidRPr="00442D31" w:rsidRDefault="0083496A" w:rsidP="00DE1F59">
            <w:pPr>
              <w:rPr>
                <w:rFonts w:asciiTheme="majorBidi" w:hAnsiTheme="majorBidi" w:cstheme="majorBidi"/>
                <w:sz w:val="20"/>
                <w:szCs w:val="20"/>
              </w:rPr>
            </w:pPr>
            <w:r w:rsidRPr="00442D31">
              <w:rPr>
                <w:rFonts w:asciiTheme="majorBidi" w:hAnsiTheme="majorBidi" w:cstheme="majorBidi"/>
                <w:sz w:val="20"/>
                <w:szCs w:val="20"/>
              </w:rPr>
              <w:t> </w:t>
            </w:r>
          </w:p>
          <w:p w14:paraId="5C69EBA4" w14:textId="77777777" w:rsidR="0083496A" w:rsidRPr="00442D31" w:rsidRDefault="0083496A" w:rsidP="00DE1F59">
            <w:pPr>
              <w:rPr>
                <w:rFonts w:asciiTheme="majorBidi" w:hAnsiTheme="majorBidi" w:cstheme="majorBidi"/>
                <w:sz w:val="20"/>
                <w:szCs w:val="20"/>
              </w:rPr>
            </w:pPr>
            <w:r w:rsidRPr="00442D31">
              <w:rPr>
                <w:rFonts w:asciiTheme="majorBidi" w:hAnsiTheme="majorBidi" w:cstheme="majorBidi"/>
                <w:sz w:val="20"/>
                <w:szCs w:val="20"/>
              </w:rPr>
              <w:t>Fiches d’évaluation </w:t>
            </w:r>
          </w:p>
          <w:p w14:paraId="6681E930" w14:textId="77777777" w:rsidR="0083496A" w:rsidRPr="00442D31" w:rsidRDefault="0083496A" w:rsidP="00DE1F59">
            <w:pPr>
              <w:rPr>
                <w:rFonts w:asciiTheme="majorBidi" w:hAnsiTheme="majorBidi" w:cstheme="majorBidi"/>
                <w:sz w:val="20"/>
                <w:szCs w:val="20"/>
              </w:rPr>
            </w:pPr>
            <w:r w:rsidRPr="00442D31">
              <w:rPr>
                <w:rFonts w:asciiTheme="majorBidi" w:hAnsiTheme="majorBidi" w:cstheme="majorBidi"/>
                <w:sz w:val="20"/>
                <w:szCs w:val="20"/>
              </w:rPr>
              <w:t> </w:t>
            </w:r>
          </w:p>
          <w:p w14:paraId="20DBC4E2" w14:textId="77777777" w:rsidR="0083496A" w:rsidRPr="00442D31" w:rsidRDefault="0083496A" w:rsidP="00DE1F59">
            <w:pPr>
              <w:rPr>
                <w:rFonts w:asciiTheme="majorBidi" w:hAnsiTheme="majorBidi" w:cstheme="majorBidi"/>
                <w:sz w:val="20"/>
                <w:szCs w:val="20"/>
              </w:rPr>
            </w:pPr>
            <w:r w:rsidRPr="00442D31">
              <w:rPr>
                <w:rFonts w:asciiTheme="majorBidi" w:hAnsiTheme="majorBidi" w:cstheme="majorBidi"/>
                <w:sz w:val="20"/>
                <w:szCs w:val="20"/>
              </w:rPr>
              <w:t>Enquêtes structurées </w:t>
            </w:r>
          </w:p>
          <w:p w14:paraId="2A1CE1E7" w14:textId="77777777" w:rsidR="0083496A" w:rsidRPr="00442D31" w:rsidRDefault="0083496A" w:rsidP="00DE1F59">
            <w:pPr>
              <w:rPr>
                <w:rFonts w:asciiTheme="majorBidi" w:hAnsiTheme="majorBidi" w:cstheme="majorBidi"/>
                <w:sz w:val="20"/>
                <w:szCs w:val="20"/>
              </w:rPr>
            </w:pPr>
            <w:r w:rsidRPr="00442D31">
              <w:rPr>
                <w:rFonts w:asciiTheme="majorBidi" w:hAnsiTheme="majorBidi" w:cstheme="majorBidi"/>
                <w:sz w:val="20"/>
                <w:szCs w:val="20"/>
              </w:rPr>
              <w:t> </w:t>
            </w:r>
          </w:p>
          <w:p w14:paraId="31131F8E" w14:textId="77777777" w:rsidR="0083496A" w:rsidRPr="00442D31" w:rsidRDefault="0083496A" w:rsidP="00DE1F59">
            <w:pPr>
              <w:rPr>
                <w:rFonts w:asciiTheme="majorBidi" w:hAnsiTheme="majorBidi" w:cstheme="majorBidi"/>
                <w:sz w:val="20"/>
                <w:szCs w:val="20"/>
              </w:rPr>
            </w:pPr>
            <w:r w:rsidRPr="00442D31">
              <w:rPr>
                <w:rFonts w:asciiTheme="majorBidi" w:hAnsiTheme="majorBidi" w:cstheme="majorBidi"/>
                <w:sz w:val="20"/>
                <w:szCs w:val="20"/>
              </w:rPr>
              <w:lastRenderedPageBreak/>
              <w:t>Publications dans les médias sociaux/traditionnels portant sur les résultats du projet </w:t>
            </w:r>
          </w:p>
          <w:p w14:paraId="45AE4CBF" w14:textId="77777777" w:rsidR="0083496A" w:rsidRPr="00442D31" w:rsidRDefault="0083496A" w:rsidP="00DE1F59">
            <w:pPr>
              <w:rPr>
                <w:rFonts w:asciiTheme="majorBidi" w:hAnsiTheme="majorBidi" w:cstheme="majorBidi"/>
                <w:sz w:val="20"/>
                <w:szCs w:val="20"/>
              </w:rPr>
            </w:pPr>
            <w:r w:rsidRPr="00442D31">
              <w:rPr>
                <w:rFonts w:asciiTheme="majorBidi" w:hAnsiTheme="majorBidi" w:cstheme="majorBidi"/>
                <w:sz w:val="20"/>
                <w:szCs w:val="20"/>
              </w:rPr>
              <w:t> </w:t>
            </w:r>
          </w:p>
          <w:p w14:paraId="4AC32423" w14:textId="77777777" w:rsidR="0083496A" w:rsidRPr="00442D31" w:rsidRDefault="0083496A" w:rsidP="00DE1F59">
            <w:pPr>
              <w:rPr>
                <w:rFonts w:asciiTheme="majorBidi" w:hAnsiTheme="majorBidi" w:cstheme="majorBidi"/>
                <w:sz w:val="20"/>
                <w:szCs w:val="20"/>
              </w:rPr>
            </w:pPr>
            <w:r w:rsidRPr="00442D31">
              <w:rPr>
                <w:rFonts w:asciiTheme="majorBidi" w:hAnsiTheme="majorBidi" w:cstheme="majorBidi"/>
                <w:sz w:val="20"/>
                <w:szCs w:val="20"/>
              </w:rPr>
              <w:t> </w:t>
            </w:r>
          </w:p>
        </w:tc>
      </w:tr>
      <w:tr w:rsidR="0083496A" w:rsidRPr="00442D31" w14:paraId="6DFAF27B" w14:textId="77777777" w:rsidTr="00442D31">
        <w:trPr>
          <w:trHeight w:val="1350"/>
        </w:trPr>
        <w:tc>
          <w:tcPr>
            <w:tcW w:w="1559" w:type="dxa"/>
            <w:tcBorders>
              <w:top w:val="single" w:sz="6" w:space="0" w:color="auto"/>
              <w:left w:val="single" w:sz="6" w:space="0" w:color="auto"/>
              <w:bottom w:val="single" w:sz="6" w:space="0" w:color="auto"/>
              <w:right w:val="single" w:sz="6" w:space="0" w:color="auto"/>
            </w:tcBorders>
            <w:hideMark/>
          </w:tcPr>
          <w:p w14:paraId="40AE59A8" w14:textId="77777777" w:rsidR="0083496A" w:rsidRPr="00442D31" w:rsidRDefault="0083496A" w:rsidP="00DE1F59">
            <w:pPr>
              <w:rPr>
                <w:rFonts w:asciiTheme="majorBidi" w:hAnsiTheme="majorBidi" w:cstheme="majorBidi"/>
                <w:sz w:val="20"/>
                <w:szCs w:val="20"/>
              </w:rPr>
            </w:pPr>
            <w:r w:rsidRPr="00442D31">
              <w:rPr>
                <w:rFonts w:asciiTheme="majorBidi" w:hAnsiTheme="majorBidi" w:cstheme="majorBidi"/>
                <w:sz w:val="20"/>
                <w:szCs w:val="20"/>
              </w:rPr>
              <w:lastRenderedPageBreak/>
              <w:t>Efficacité dans la mise en œuvre. Les activités de mobilisation des parties prenantes ont-elles eu une véritable incidence sur la mise en œuvre ? </w:t>
            </w:r>
          </w:p>
        </w:tc>
        <w:tc>
          <w:tcPr>
            <w:tcW w:w="2473" w:type="dxa"/>
            <w:tcBorders>
              <w:top w:val="single" w:sz="6" w:space="0" w:color="auto"/>
              <w:left w:val="single" w:sz="6" w:space="0" w:color="auto"/>
              <w:bottom w:val="single" w:sz="6" w:space="0" w:color="auto"/>
              <w:right w:val="single" w:sz="6" w:space="0" w:color="auto"/>
            </w:tcBorders>
            <w:hideMark/>
          </w:tcPr>
          <w:p w14:paraId="7BB24E15" w14:textId="77777777" w:rsidR="0083496A" w:rsidRPr="00442D31" w:rsidRDefault="0083496A">
            <w:pPr>
              <w:numPr>
                <w:ilvl w:val="0"/>
                <w:numId w:val="25"/>
              </w:numPr>
              <w:rPr>
                <w:rFonts w:asciiTheme="majorBidi" w:hAnsiTheme="majorBidi" w:cstheme="majorBidi"/>
                <w:sz w:val="20"/>
                <w:szCs w:val="20"/>
              </w:rPr>
            </w:pPr>
            <w:r w:rsidRPr="00442D31">
              <w:rPr>
                <w:rFonts w:asciiTheme="majorBidi" w:hAnsiTheme="majorBidi" w:cstheme="majorBidi"/>
                <w:sz w:val="20"/>
                <w:szCs w:val="20"/>
              </w:rPr>
              <w:t>Les activités ont-elles été mises en œuvre comme prévu ? Pourquoi ? </w:t>
            </w:r>
          </w:p>
          <w:p w14:paraId="026A637C" w14:textId="77777777" w:rsidR="0083496A" w:rsidRPr="00442D31" w:rsidRDefault="0083496A">
            <w:pPr>
              <w:numPr>
                <w:ilvl w:val="0"/>
                <w:numId w:val="26"/>
              </w:numPr>
              <w:rPr>
                <w:rFonts w:asciiTheme="majorBidi" w:hAnsiTheme="majorBidi" w:cstheme="majorBidi"/>
                <w:sz w:val="20"/>
                <w:szCs w:val="20"/>
              </w:rPr>
            </w:pPr>
            <w:r w:rsidRPr="00442D31">
              <w:rPr>
                <w:rFonts w:asciiTheme="majorBidi" w:hAnsiTheme="majorBidi" w:cstheme="majorBidi"/>
                <w:sz w:val="20"/>
                <w:szCs w:val="20"/>
              </w:rPr>
              <w:t>L’approche de mobilisation des parties prenantes incluait-elle des actions ventilées par groupe ? Pourquoi ? </w:t>
            </w:r>
          </w:p>
        </w:tc>
        <w:tc>
          <w:tcPr>
            <w:tcW w:w="4158" w:type="dxa"/>
            <w:tcBorders>
              <w:top w:val="single" w:sz="6" w:space="0" w:color="auto"/>
              <w:left w:val="single" w:sz="6" w:space="0" w:color="auto"/>
              <w:bottom w:val="single" w:sz="6" w:space="0" w:color="auto"/>
              <w:right w:val="single" w:sz="6" w:space="0" w:color="auto"/>
            </w:tcBorders>
            <w:hideMark/>
          </w:tcPr>
          <w:p w14:paraId="4677363B" w14:textId="77777777" w:rsidR="0083496A" w:rsidRPr="00442D31" w:rsidRDefault="0083496A">
            <w:pPr>
              <w:numPr>
                <w:ilvl w:val="0"/>
                <w:numId w:val="27"/>
              </w:numPr>
              <w:rPr>
                <w:rFonts w:asciiTheme="majorBidi" w:hAnsiTheme="majorBidi" w:cstheme="majorBidi"/>
                <w:sz w:val="20"/>
                <w:szCs w:val="20"/>
              </w:rPr>
            </w:pPr>
            <w:r w:rsidRPr="00442D31">
              <w:rPr>
                <w:rFonts w:asciiTheme="majorBidi" w:hAnsiTheme="majorBidi" w:cstheme="majorBidi"/>
                <w:sz w:val="20"/>
                <w:szCs w:val="20"/>
              </w:rPr>
              <w:t>Pourcentage des activités du PMPP mises en œuvre </w:t>
            </w:r>
          </w:p>
          <w:p w14:paraId="66685963" w14:textId="77777777" w:rsidR="0083496A" w:rsidRPr="00442D31" w:rsidRDefault="0083496A">
            <w:pPr>
              <w:numPr>
                <w:ilvl w:val="0"/>
                <w:numId w:val="28"/>
              </w:numPr>
              <w:rPr>
                <w:rFonts w:asciiTheme="majorBidi" w:hAnsiTheme="majorBidi" w:cstheme="majorBidi"/>
                <w:b/>
                <w:bCs/>
                <w:sz w:val="20"/>
                <w:szCs w:val="20"/>
              </w:rPr>
            </w:pPr>
            <w:r w:rsidRPr="00442D31">
              <w:rPr>
                <w:rFonts w:asciiTheme="majorBidi" w:hAnsiTheme="majorBidi" w:cstheme="majorBidi"/>
                <w:sz w:val="20"/>
                <w:szCs w:val="20"/>
              </w:rPr>
              <w:t>Principaux obstacles à la participation recensés avec les représentants des parties prenantes</w:t>
            </w:r>
            <w:r w:rsidRPr="00442D31">
              <w:rPr>
                <w:rFonts w:asciiTheme="majorBidi" w:hAnsiTheme="majorBidi" w:cstheme="majorBidi"/>
                <w:b/>
                <w:bCs/>
                <w:sz w:val="20"/>
                <w:szCs w:val="20"/>
              </w:rPr>
              <w:t> </w:t>
            </w:r>
          </w:p>
          <w:p w14:paraId="4C3A27A5" w14:textId="77777777" w:rsidR="0083496A" w:rsidRPr="00442D31" w:rsidRDefault="0083496A">
            <w:pPr>
              <w:numPr>
                <w:ilvl w:val="0"/>
                <w:numId w:val="29"/>
              </w:numPr>
              <w:rPr>
                <w:rFonts w:asciiTheme="majorBidi" w:hAnsiTheme="majorBidi" w:cstheme="majorBidi"/>
                <w:sz w:val="20"/>
                <w:szCs w:val="20"/>
              </w:rPr>
            </w:pPr>
            <w:r w:rsidRPr="00442D31">
              <w:rPr>
                <w:rFonts w:asciiTheme="majorBidi" w:hAnsiTheme="majorBidi" w:cstheme="majorBidi"/>
                <w:sz w:val="20"/>
                <w:szCs w:val="20"/>
              </w:rPr>
              <w:t>Nombre d’ajustements apportés à l’approche de mobilisation des parties prenantes pour améliorer la portée, l’inclusion et l’efficacité des projets  </w:t>
            </w:r>
          </w:p>
        </w:tc>
        <w:tc>
          <w:tcPr>
            <w:tcW w:w="2148" w:type="dxa"/>
            <w:tcBorders>
              <w:top w:val="single" w:sz="6" w:space="0" w:color="auto"/>
              <w:left w:val="single" w:sz="6" w:space="0" w:color="auto"/>
              <w:bottom w:val="single" w:sz="6" w:space="0" w:color="auto"/>
              <w:right w:val="single" w:sz="6" w:space="0" w:color="auto"/>
            </w:tcBorders>
            <w:hideMark/>
          </w:tcPr>
          <w:p w14:paraId="6E0FC85E" w14:textId="77777777" w:rsidR="0083496A" w:rsidRPr="00442D31" w:rsidRDefault="0083496A" w:rsidP="00DE1F59">
            <w:pPr>
              <w:rPr>
                <w:rFonts w:asciiTheme="majorBidi" w:hAnsiTheme="majorBidi" w:cstheme="majorBidi"/>
                <w:sz w:val="20"/>
                <w:szCs w:val="20"/>
              </w:rPr>
            </w:pPr>
            <w:r w:rsidRPr="00442D31">
              <w:rPr>
                <w:rFonts w:asciiTheme="majorBidi" w:hAnsiTheme="majorBidi" w:cstheme="majorBidi"/>
                <w:sz w:val="20"/>
                <w:szCs w:val="20"/>
              </w:rPr>
              <w:t>Stratégie de communication (calendrier des consultations) </w:t>
            </w:r>
          </w:p>
          <w:p w14:paraId="6E86BFC6" w14:textId="77777777" w:rsidR="0083496A" w:rsidRPr="00442D31" w:rsidRDefault="0083496A" w:rsidP="00DE1F59">
            <w:pPr>
              <w:rPr>
                <w:rFonts w:asciiTheme="majorBidi" w:hAnsiTheme="majorBidi" w:cstheme="majorBidi"/>
                <w:sz w:val="20"/>
                <w:szCs w:val="20"/>
              </w:rPr>
            </w:pPr>
            <w:r w:rsidRPr="00442D31">
              <w:rPr>
                <w:rFonts w:asciiTheme="majorBidi" w:hAnsiTheme="majorBidi" w:cstheme="majorBidi"/>
                <w:sz w:val="20"/>
                <w:szCs w:val="20"/>
              </w:rPr>
              <w:t> </w:t>
            </w:r>
          </w:p>
          <w:p w14:paraId="4277F20F" w14:textId="77777777" w:rsidR="0083496A" w:rsidRPr="00442D31" w:rsidRDefault="0083496A" w:rsidP="00DE1F59">
            <w:pPr>
              <w:rPr>
                <w:rFonts w:asciiTheme="majorBidi" w:hAnsiTheme="majorBidi" w:cstheme="majorBidi"/>
                <w:sz w:val="20"/>
                <w:szCs w:val="20"/>
              </w:rPr>
            </w:pPr>
            <w:r w:rsidRPr="00442D31">
              <w:rPr>
                <w:rFonts w:asciiTheme="majorBidi" w:hAnsiTheme="majorBidi" w:cstheme="majorBidi"/>
                <w:sz w:val="20"/>
                <w:szCs w:val="20"/>
              </w:rPr>
              <w:t>Discussions de groupe périodiques </w:t>
            </w:r>
          </w:p>
          <w:p w14:paraId="0E8E0F48" w14:textId="77777777" w:rsidR="0083496A" w:rsidRPr="00442D31" w:rsidRDefault="0083496A" w:rsidP="00DE1F59">
            <w:pPr>
              <w:rPr>
                <w:rFonts w:asciiTheme="majorBidi" w:hAnsiTheme="majorBidi" w:cstheme="majorBidi"/>
                <w:sz w:val="20"/>
                <w:szCs w:val="20"/>
              </w:rPr>
            </w:pPr>
            <w:r w:rsidRPr="00442D31">
              <w:rPr>
                <w:rFonts w:asciiTheme="majorBidi" w:hAnsiTheme="majorBidi" w:cstheme="majorBidi"/>
                <w:sz w:val="20"/>
                <w:szCs w:val="20"/>
              </w:rPr>
              <w:t> </w:t>
            </w:r>
          </w:p>
          <w:p w14:paraId="7AECEADC" w14:textId="77777777" w:rsidR="0083496A" w:rsidRPr="00442D31" w:rsidRDefault="0083496A" w:rsidP="00DE1F59">
            <w:pPr>
              <w:rPr>
                <w:rFonts w:asciiTheme="majorBidi" w:hAnsiTheme="majorBidi" w:cstheme="majorBidi"/>
                <w:sz w:val="20"/>
                <w:szCs w:val="20"/>
              </w:rPr>
            </w:pPr>
            <w:r w:rsidRPr="00442D31">
              <w:rPr>
                <w:rFonts w:asciiTheme="majorBidi" w:hAnsiTheme="majorBidi" w:cstheme="majorBidi"/>
                <w:sz w:val="20"/>
                <w:szCs w:val="20"/>
              </w:rPr>
              <w:t>Réunions en face à face et/ou discussions avec les groupes vulnérables ou leurs représentants </w:t>
            </w:r>
          </w:p>
        </w:tc>
      </w:tr>
    </w:tbl>
    <w:p w14:paraId="4F353C90" w14:textId="77777777" w:rsidR="0083496A" w:rsidRDefault="0083496A" w:rsidP="0083496A">
      <w:pPr>
        <w:rPr>
          <w:b/>
          <w:bCs/>
          <w:sz w:val="24"/>
          <w:szCs w:val="24"/>
        </w:rPr>
      </w:pPr>
      <w:r w:rsidRPr="00DD76DA">
        <w:rPr>
          <w:b/>
          <w:bCs/>
          <w:sz w:val="24"/>
          <w:szCs w:val="24"/>
        </w:rPr>
        <w:t> </w:t>
      </w:r>
    </w:p>
    <w:p w14:paraId="34A1505D" w14:textId="77777777" w:rsidR="00442D31" w:rsidRPr="002802E1" w:rsidRDefault="00442D31" w:rsidP="00442D31">
      <w:pPr>
        <w:spacing w:line="276" w:lineRule="auto"/>
        <w:jc w:val="both"/>
        <w:rPr>
          <w:rFonts w:asciiTheme="majorBidi" w:hAnsiTheme="majorBidi" w:cstheme="majorBidi"/>
        </w:rPr>
      </w:pPr>
      <w:r w:rsidRPr="002802E1">
        <w:rPr>
          <w:rFonts w:asciiTheme="majorBidi" w:hAnsiTheme="majorBidi" w:cstheme="majorBidi"/>
          <w:b/>
          <w:bCs/>
        </w:rPr>
        <w:t>Annexe 4 : Procès-verbal des consultations publiques des parties prenantes institutionnelles</w:t>
      </w:r>
    </w:p>
    <w:p w14:paraId="2B94C3F9" w14:textId="77777777" w:rsidR="00442D31" w:rsidRPr="002802E1" w:rsidRDefault="00442D31" w:rsidP="00442D31">
      <w:pPr>
        <w:spacing w:after="0" w:line="276" w:lineRule="auto"/>
        <w:jc w:val="both"/>
        <w:rPr>
          <w:rFonts w:asciiTheme="majorBidi" w:hAnsiTheme="majorBidi" w:cstheme="majorBidi"/>
        </w:rPr>
      </w:pPr>
    </w:p>
    <w:p w14:paraId="052EE62D" w14:textId="77777777" w:rsidR="00442D31" w:rsidRPr="002802E1" w:rsidRDefault="00442D31" w:rsidP="00442D31">
      <w:pPr>
        <w:spacing w:line="276" w:lineRule="auto"/>
        <w:jc w:val="center"/>
        <w:rPr>
          <w:rFonts w:asciiTheme="majorBidi" w:hAnsiTheme="majorBidi" w:cstheme="majorBidi"/>
        </w:rPr>
      </w:pPr>
      <w:r w:rsidRPr="002802E1">
        <w:rPr>
          <w:rFonts w:asciiTheme="majorBidi" w:hAnsiTheme="majorBidi" w:cstheme="majorBidi"/>
          <w:b/>
          <w:bCs/>
        </w:rPr>
        <w:t>PROCÈS-VERBAL DE CONSULTATION PUBLIQUE</w:t>
      </w:r>
      <w:r w:rsidRPr="002802E1">
        <w:rPr>
          <w:rFonts w:asciiTheme="majorBidi" w:hAnsiTheme="majorBidi" w:cstheme="majorBidi"/>
          <w:b/>
          <w:bCs/>
        </w:rPr>
        <w:br/>
        <w:t>PROJET SMART GAZ</w:t>
      </w:r>
    </w:p>
    <w:p w14:paraId="73410118" w14:textId="77777777" w:rsidR="00442D31" w:rsidRPr="002802E1" w:rsidRDefault="00442D31" w:rsidP="00442D31">
      <w:pPr>
        <w:spacing w:line="276" w:lineRule="auto"/>
        <w:jc w:val="both"/>
        <w:rPr>
          <w:rFonts w:asciiTheme="majorBidi" w:hAnsiTheme="majorBidi" w:cstheme="majorBidi"/>
          <w:b/>
        </w:rPr>
      </w:pPr>
    </w:p>
    <w:p w14:paraId="1FD3F121" w14:textId="77777777" w:rsidR="00442D31" w:rsidRPr="002802E1" w:rsidRDefault="00442D31" w:rsidP="00442D31">
      <w:pPr>
        <w:spacing w:line="276" w:lineRule="auto"/>
        <w:rPr>
          <w:rFonts w:asciiTheme="majorBidi" w:hAnsiTheme="majorBidi" w:cstheme="majorBidi"/>
        </w:rPr>
      </w:pPr>
      <w:r w:rsidRPr="002802E1">
        <w:rPr>
          <w:rFonts w:asciiTheme="majorBidi" w:hAnsiTheme="majorBidi" w:cstheme="majorBidi"/>
          <w:b/>
          <w:bCs/>
        </w:rPr>
        <w:t>Date :</w:t>
      </w:r>
      <w:r w:rsidRPr="002802E1">
        <w:rPr>
          <w:rFonts w:asciiTheme="majorBidi" w:hAnsiTheme="majorBidi" w:cstheme="majorBidi"/>
        </w:rPr>
        <w:t xml:space="preserve"> 2 octobre 2026</w:t>
      </w:r>
      <w:r w:rsidRPr="002802E1">
        <w:rPr>
          <w:rFonts w:asciiTheme="majorBidi" w:hAnsiTheme="majorBidi" w:cstheme="majorBidi"/>
        </w:rPr>
        <w:br/>
      </w:r>
      <w:r w:rsidRPr="002802E1">
        <w:rPr>
          <w:rFonts w:asciiTheme="majorBidi" w:hAnsiTheme="majorBidi" w:cstheme="majorBidi"/>
          <w:b/>
          <w:bCs/>
        </w:rPr>
        <w:t>Lieu :</w:t>
      </w:r>
      <w:r w:rsidRPr="002802E1">
        <w:rPr>
          <w:rFonts w:asciiTheme="majorBidi" w:hAnsiTheme="majorBidi" w:cstheme="majorBidi"/>
        </w:rPr>
        <w:t xml:space="preserve"> Locaux du projet DREAM1</w:t>
      </w:r>
      <w:r w:rsidRPr="002802E1">
        <w:rPr>
          <w:rFonts w:asciiTheme="majorBidi" w:hAnsiTheme="majorBidi" w:cstheme="majorBidi"/>
        </w:rPr>
        <w:br/>
      </w:r>
      <w:r w:rsidRPr="002802E1">
        <w:rPr>
          <w:rFonts w:asciiTheme="majorBidi" w:hAnsiTheme="majorBidi" w:cstheme="majorBidi"/>
          <w:b/>
          <w:bCs/>
        </w:rPr>
        <w:t>Objet :</w:t>
      </w:r>
      <w:r w:rsidRPr="002802E1">
        <w:rPr>
          <w:rFonts w:asciiTheme="majorBidi" w:hAnsiTheme="majorBidi" w:cstheme="majorBidi"/>
        </w:rPr>
        <w:t xml:space="preserve"> Consultation publique des parties prenantes institutionnelles sur le projet SMART GAZ</w:t>
      </w:r>
    </w:p>
    <w:p w14:paraId="20D638C3" w14:textId="77777777" w:rsidR="00442D31" w:rsidRPr="002802E1" w:rsidRDefault="00442D31" w:rsidP="00442D31">
      <w:pPr>
        <w:pStyle w:val="Heading2"/>
        <w:spacing w:line="276" w:lineRule="auto"/>
        <w:jc w:val="both"/>
        <w:rPr>
          <w:rFonts w:asciiTheme="majorBidi" w:hAnsiTheme="majorBidi"/>
          <w:color w:val="auto"/>
          <w:sz w:val="22"/>
          <w:szCs w:val="22"/>
        </w:rPr>
      </w:pPr>
      <w:r w:rsidRPr="002802E1">
        <w:rPr>
          <w:rFonts w:asciiTheme="majorBidi" w:hAnsiTheme="majorBidi"/>
          <w:color w:val="auto"/>
          <w:sz w:val="22"/>
          <w:szCs w:val="22"/>
        </w:rPr>
        <w:t>1. Participants</w:t>
      </w:r>
    </w:p>
    <w:p w14:paraId="554C460A" w14:textId="77777777" w:rsidR="00442D31" w:rsidRPr="002802E1" w:rsidRDefault="00442D31" w:rsidP="00442D31">
      <w:pPr>
        <w:spacing w:line="276" w:lineRule="auto"/>
        <w:jc w:val="both"/>
        <w:rPr>
          <w:rFonts w:asciiTheme="majorBidi" w:hAnsiTheme="majorBidi" w:cstheme="majorBidi"/>
        </w:rPr>
      </w:pPr>
      <w:r w:rsidRPr="002802E1">
        <w:rPr>
          <w:rFonts w:asciiTheme="majorBidi" w:hAnsiTheme="majorBidi" w:cstheme="majorBidi"/>
        </w:rPr>
        <w:t>Ont pris part à la consultation des représentants des institutions et organisations suivantes : Ministère de l’Environnement et du Développement durable (MEDD) ; Ministère de la Formation professionnelle, de l’Artisanat et des Métiers ; Direction du Suivi environnemental de la Direction générale du Pétrole et de l’Hydrogène bas carbone du Ministère de l’Énergie et du Pétrole ; Direction générale de l’Électricité ; Société mauritanienne d’électricité (SOMELEC) ; Faculté des Sciences de l’Université de Nouakchott ; Volunteer HUB Organization (VOH), organisation spécialisée dans le renforcement des capacités des jeunes en matière d’environnement et de climat ; ainsi que les représentants des deux unités de gestion du projet.</w:t>
      </w:r>
    </w:p>
    <w:p w14:paraId="6A27C61F" w14:textId="77777777" w:rsidR="00442D31" w:rsidRPr="002802E1" w:rsidRDefault="00442D31" w:rsidP="00442D31">
      <w:pPr>
        <w:pStyle w:val="Heading2"/>
        <w:spacing w:line="276" w:lineRule="auto"/>
        <w:jc w:val="both"/>
        <w:rPr>
          <w:rFonts w:asciiTheme="majorBidi" w:hAnsiTheme="majorBidi"/>
          <w:color w:val="auto"/>
          <w:sz w:val="22"/>
          <w:szCs w:val="22"/>
        </w:rPr>
      </w:pPr>
      <w:r w:rsidRPr="002802E1">
        <w:rPr>
          <w:rFonts w:asciiTheme="majorBidi" w:hAnsiTheme="majorBidi"/>
          <w:color w:val="auto"/>
          <w:sz w:val="22"/>
          <w:szCs w:val="22"/>
        </w:rPr>
        <w:t>2. Ouverture et objet de la consultation</w:t>
      </w:r>
    </w:p>
    <w:p w14:paraId="12E880F6" w14:textId="77777777" w:rsidR="00442D31" w:rsidRPr="002802E1" w:rsidRDefault="00442D31" w:rsidP="00442D31">
      <w:pPr>
        <w:pStyle w:val="BodyText"/>
        <w:spacing w:line="276" w:lineRule="auto"/>
        <w:jc w:val="both"/>
        <w:rPr>
          <w:rFonts w:asciiTheme="majorBidi" w:hAnsiTheme="majorBidi" w:cstheme="majorBidi"/>
          <w:sz w:val="22"/>
          <w:szCs w:val="22"/>
        </w:rPr>
      </w:pPr>
      <w:r w:rsidRPr="002802E1">
        <w:rPr>
          <w:rFonts w:asciiTheme="majorBidi" w:hAnsiTheme="majorBidi" w:cstheme="majorBidi"/>
          <w:sz w:val="22"/>
          <w:szCs w:val="22"/>
        </w:rPr>
        <w:t xml:space="preserve">La séance a été ouverte par une présentation du projet SMART GAZ, portant sur son objectif de développement, ses composantes et ses activités. Les effets socioéconomiques positifs attendus pour le secteur de l’énergie, les populations et l’économie nationale ont été exposés, de même que les retombées financières, les synergies et les opportunités susceptibles de bénéficier aux parties prenantes </w:t>
      </w:r>
      <w:r w:rsidRPr="002802E1">
        <w:rPr>
          <w:rFonts w:asciiTheme="majorBidi" w:hAnsiTheme="majorBidi" w:cstheme="majorBidi"/>
          <w:sz w:val="22"/>
          <w:szCs w:val="22"/>
        </w:rPr>
        <w:lastRenderedPageBreak/>
        <w:t>institutionnelles. Les échanges ont ensuite porté sur les risques et impacts environnementaux et sociaux potentiels du projet sur l’environnement, les communautés et les activités socioéconomiques.</w:t>
      </w:r>
    </w:p>
    <w:p w14:paraId="7CA80DD8" w14:textId="77777777" w:rsidR="00442D31" w:rsidRPr="002802E1" w:rsidRDefault="00442D31" w:rsidP="00442D31">
      <w:pPr>
        <w:spacing w:line="276" w:lineRule="auto"/>
        <w:jc w:val="both"/>
        <w:rPr>
          <w:rFonts w:asciiTheme="majorBidi" w:hAnsiTheme="majorBidi" w:cstheme="majorBidi"/>
        </w:rPr>
      </w:pPr>
      <w:r w:rsidRPr="002802E1">
        <w:rPr>
          <w:rFonts w:asciiTheme="majorBidi" w:hAnsiTheme="majorBidi" w:cstheme="majorBidi"/>
        </w:rPr>
        <w:t>Il a été rappelé que la consultation s’inscrit dans le cadre des exigences de la Norme environnementale et sociale n° 10 (NES 10) de la Banque mondiale relatives à la mobilisation des parties prenantes, à l’accès à l’information et à la participation. Les dispositions de la loi n° 019-2025 relative aux évaluations environnementales et sociales consacrent également le droit à la consultation, à l’information et à la prise en compte des points de vue des parties prenantes dans la mise en œuvre des projets de développement.</w:t>
      </w:r>
    </w:p>
    <w:p w14:paraId="56280550" w14:textId="77777777" w:rsidR="00442D31" w:rsidRPr="002802E1" w:rsidRDefault="00442D31" w:rsidP="00442D31">
      <w:pPr>
        <w:pStyle w:val="Heading2"/>
        <w:spacing w:line="276" w:lineRule="auto"/>
        <w:jc w:val="both"/>
        <w:rPr>
          <w:rFonts w:asciiTheme="majorBidi" w:hAnsiTheme="majorBidi"/>
          <w:color w:val="auto"/>
          <w:sz w:val="22"/>
          <w:szCs w:val="22"/>
        </w:rPr>
      </w:pPr>
      <w:r w:rsidRPr="002802E1">
        <w:rPr>
          <w:rFonts w:asciiTheme="majorBidi" w:hAnsiTheme="majorBidi"/>
          <w:color w:val="auto"/>
          <w:sz w:val="22"/>
          <w:szCs w:val="22"/>
        </w:rPr>
        <w:t>3. Synthèse des échanges</w:t>
      </w:r>
    </w:p>
    <w:p w14:paraId="5860B2FD" w14:textId="77777777" w:rsidR="00442D31" w:rsidRPr="002802E1" w:rsidRDefault="00442D31" w:rsidP="00442D31">
      <w:pPr>
        <w:spacing w:line="276" w:lineRule="auto"/>
        <w:jc w:val="both"/>
        <w:rPr>
          <w:rFonts w:asciiTheme="majorBidi" w:hAnsiTheme="majorBidi" w:cstheme="majorBidi"/>
        </w:rPr>
      </w:pPr>
      <w:r w:rsidRPr="002802E1">
        <w:rPr>
          <w:rFonts w:asciiTheme="majorBidi" w:hAnsiTheme="majorBidi" w:cstheme="majorBidi"/>
        </w:rPr>
        <w:t>Les participants ont salué la préparation du projet, considéré comme une réponse à l’absence d’un programme structuré d’appui au secteur gazier malgré le potentiel important de la Mauritanie dans ce domaine. Ils ont exprimé un avis favorable sur l’objectif, les composantes et les activités présentés, tout en formulant les priorités, attentes et recommandations ci-après.</w:t>
      </w:r>
    </w:p>
    <w:p w14:paraId="10BF8774" w14:textId="77777777" w:rsidR="00442D31" w:rsidRPr="002802E1" w:rsidRDefault="00442D31" w:rsidP="00442D31">
      <w:pPr>
        <w:pStyle w:val="Heading2"/>
        <w:spacing w:line="276" w:lineRule="auto"/>
        <w:jc w:val="both"/>
        <w:rPr>
          <w:rFonts w:asciiTheme="majorBidi" w:hAnsiTheme="majorBidi"/>
          <w:color w:val="auto"/>
          <w:sz w:val="22"/>
          <w:szCs w:val="22"/>
        </w:rPr>
      </w:pPr>
      <w:r w:rsidRPr="002802E1">
        <w:rPr>
          <w:rFonts w:asciiTheme="majorBidi" w:hAnsiTheme="majorBidi"/>
          <w:color w:val="auto"/>
          <w:sz w:val="22"/>
          <w:szCs w:val="22"/>
        </w:rPr>
        <w:t>4. Principales préoccupations et recommandations</w:t>
      </w:r>
    </w:p>
    <w:p w14:paraId="1EBC2411" w14:textId="77777777" w:rsidR="00442D31" w:rsidRPr="002802E1" w:rsidRDefault="00442D31" w:rsidP="00442D31">
      <w:pPr>
        <w:pStyle w:val="ListParagraph"/>
        <w:numPr>
          <w:ilvl w:val="0"/>
          <w:numId w:val="38"/>
        </w:numPr>
        <w:spacing w:line="276" w:lineRule="auto"/>
        <w:jc w:val="both"/>
        <w:rPr>
          <w:rFonts w:asciiTheme="majorBidi" w:hAnsiTheme="majorBidi" w:cstheme="majorBidi"/>
        </w:rPr>
      </w:pPr>
      <w:r w:rsidRPr="002802E1">
        <w:rPr>
          <w:rFonts w:asciiTheme="majorBidi" w:hAnsiTheme="majorBidi" w:cstheme="majorBidi"/>
          <w:b/>
          <w:bCs/>
        </w:rPr>
        <w:t>Ministère de l’Environnement et du Développement durable :</w:t>
      </w:r>
      <w:r w:rsidRPr="002802E1">
        <w:rPr>
          <w:rFonts w:asciiTheme="majorBidi" w:hAnsiTheme="majorBidi" w:cstheme="majorBidi"/>
        </w:rPr>
        <w:t xml:space="preserve"> renforcer le cadre législatif, institutionnel et réglementaire applicable à l’exploration et à l’exploitation pétrolières et gazières ; développer les évaluations environnementales et sociales, y compris stratégiques ; améliorer le suivi des installations, des rejets et des plans de gestion environnementale et sociale ; renforcer les capacités de la Direction de l’Évaluation et du Contrôle environnemental (DECE) ; mettre en place un système d’information et de gestion environnementale du secteur ainsi qu’un dispositif fiable de suivi des émissions de gaz à effet de serre.</w:t>
      </w:r>
    </w:p>
    <w:p w14:paraId="32C0591F" w14:textId="77777777" w:rsidR="00442D31" w:rsidRPr="002802E1" w:rsidRDefault="00442D31" w:rsidP="00442D31">
      <w:pPr>
        <w:spacing w:line="276" w:lineRule="auto"/>
        <w:jc w:val="both"/>
        <w:rPr>
          <w:rFonts w:asciiTheme="majorBidi" w:hAnsiTheme="majorBidi" w:cstheme="majorBidi"/>
        </w:rPr>
      </w:pPr>
    </w:p>
    <w:p w14:paraId="1827D5E7" w14:textId="77777777" w:rsidR="00442D31" w:rsidRPr="002802E1" w:rsidRDefault="00442D31" w:rsidP="00442D31">
      <w:pPr>
        <w:pStyle w:val="ListParagraph"/>
        <w:numPr>
          <w:ilvl w:val="0"/>
          <w:numId w:val="38"/>
        </w:numPr>
        <w:spacing w:line="276" w:lineRule="auto"/>
        <w:jc w:val="both"/>
        <w:rPr>
          <w:rFonts w:asciiTheme="majorBidi" w:hAnsiTheme="majorBidi" w:cstheme="majorBidi"/>
        </w:rPr>
      </w:pPr>
      <w:r w:rsidRPr="002802E1">
        <w:rPr>
          <w:rFonts w:asciiTheme="majorBidi" w:hAnsiTheme="majorBidi" w:cstheme="majorBidi"/>
          <w:b/>
          <w:bCs/>
        </w:rPr>
        <w:t>Direction du Suivi environnemental de la Direction générale du Pétrole et de l’Hydrogène bas carbone :</w:t>
      </w:r>
      <w:r w:rsidRPr="002802E1">
        <w:rPr>
          <w:rFonts w:asciiTheme="majorBidi" w:hAnsiTheme="majorBidi" w:cstheme="majorBidi"/>
        </w:rPr>
        <w:t xml:space="preserve"> les attentes exprimées portent notamment sur les actions suivantes :</w:t>
      </w:r>
    </w:p>
    <w:p w14:paraId="4B45B803" w14:textId="77777777" w:rsidR="00442D31" w:rsidRPr="002802E1" w:rsidRDefault="00442D31" w:rsidP="00442D31">
      <w:pPr>
        <w:pStyle w:val="ListParagraph"/>
        <w:numPr>
          <w:ilvl w:val="1"/>
          <w:numId w:val="38"/>
        </w:numPr>
        <w:spacing w:line="276" w:lineRule="auto"/>
        <w:jc w:val="both"/>
        <w:rPr>
          <w:rFonts w:asciiTheme="majorBidi" w:hAnsiTheme="majorBidi" w:cstheme="majorBidi"/>
        </w:rPr>
      </w:pPr>
      <w:r w:rsidRPr="002802E1">
        <w:rPr>
          <w:rFonts w:asciiTheme="majorBidi" w:hAnsiTheme="majorBidi" w:cstheme="majorBidi"/>
        </w:rPr>
        <w:t xml:space="preserve">Renforcement du cadre réglementaire sur le torchage, le dégazage et les émissions fugitives : (i) Compléter et mettre à jour le cadre règlementaire dans les domaines du torchage, le dégazage, le venting et les émissions fugitives (textes d’application du code des hydrocarbures) ; (ii) L'élaboration d'un Guide national de gestion du torchage, du venting et des émissions associées, incluant notamment : les procédures d'autorisation, les obligations de notification, les méthodes de quantification, les exigences de reporting, les modalités de vérification et les mécanismes de suivi et de contrôle par l'administration ; (iii) L'intégration d'exigences techniques relatives aux émissions fugitives : plans de gestion des émissions, détection et réparation des fuites (LDAR), suivi de l'efficacité des torchères, calibration des instruments, tenue des registres, certification et vérification indépendante des données. </w:t>
      </w:r>
    </w:p>
    <w:p w14:paraId="4CB134AA" w14:textId="77777777" w:rsidR="00442D31" w:rsidRPr="002802E1" w:rsidRDefault="00442D31" w:rsidP="00442D31">
      <w:pPr>
        <w:pStyle w:val="ListParagraph"/>
        <w:numPr>
          <w:ilvl w:val="1"/>
          <w:numId w:val="38"/>
        </w:numPr>
        <w:spacing w:line="276" w:lineRule="auto"/>
        <w:jc w:val="both"/>
        <w:rPr>
          <w:rFonts w:asciiTheme="majorBidi" w:hAnsiTheme="majorBidi" w:cstheme="majorBidi"/>
        </w:rPr>
      </w:pPr>
      <w:r w:rsidRPr="002802E1">
        <w:rPr>
          <w:rFonts w:asciiTheme="majorBidi" w:hAnsiTheme="majorBidi" w:cstheme="majorBidi"/>
        </w:rPr>
        <w:t>Développement d'un Système d'Information de Gestion Environnementale (SIGE) pour centraliser, structurer, cartographier et exploiter les données environnementales du secteur des hydrocarbures</w:t>
      </w:r>
    </w:p>
    <w:p w14:paraId="453E34F9" w14:textId="77777777" w:rsidR="00442D31" w:rsidRPr="002802E1" w:rsidRDefault="00442D31" w:rsidP="00442D31">
      <w:pPr>
        <w:pStyle w:val="ListParagraph"/>
        <w:numPr>
          <w:ilvl w:val="1"/>
          <w:numId w:val="38"/>
        </w:numPr>
        <w:spacing w:line="276" w:lineRule="auto"/>
        <w:jc w:val="both"/>
        <w:rPr>
          <w:rFonts w:asciiTheme="majorBidi" w:hAnsiTheme="majorBidi" w:cstheme="majorBidi"/>
        </w:rPr>
      </w:pPr>
      <w:r w:rsidRPr="002802E1">
        <w:rPr>
          <w:rFonts w:asciiTheme="majorBidi" w:hAnsiTheme="majorBidi" w:cstheme="majorBidi"/>
        </w:rPr>
        <w:t>Assistance technique pour la mise en œuvre des recommandations issues de la stratégie de décarbonation et des évaluations environnementales et sociales stratégiques du secteur des hydrocarbures en Mauritanie.</w:t>
      </w:r>
    </w:p>
    <w:p w14:paraId="7E831EC7" w14:textId="77777777" w:rsidR="00442D31" w:rsidRPr="002802E1" w:rsidRDefault="00442D31" w:rsidP="00442D31">
      <w:pPr>
        <w:pStyle w:val="ListParagraph"/>
        <w:numPr>
          <w:ilvl w:val="0"/>
          <w:numId w:val="38"/>
        </w:numPr>
        <w:spacing w:line="276" w:lineRule="auto"/>
        <w:jc w:val="both"/>
        <w:rPr>
          <w:rFonts w:asciiTheme="majorBidi" w:hAnsiTheme="majorBidi" w:cstheme="majorBidi"/>
        </w:rPr>
      </w:pPr>
      <w:r w:rsidRPr="002802E1">
        <w:rPr>
          <w:rFonts w:asciiTheme="majorBidi" w:hAnsiTheme="majorBidi" w:cstheme="majorBidi"/>
          <w:b/>
          <w:bCs/>
        </w:rPr>
        <w:lastRenderedPageBreak/>
        <w:t>Direction générale de la Formation technique et professionnelle :</w:t>
      </w:r>
      <w:r w:rsidRPr="002802E1">
        <w:rPr>
          <w:rFonts w:asciiTheme="majorBidi" w:hAnsiTheme="majorBidi" w:cstheme="majorBidi"/>
        </w:rPr>
        <w:t xml:space="preserve"> soutenir le développement de formations qualifiantes, de brevets de technicien supérieur et de certificats de compétences adaptés aux besoins du secteur extractif ; appuyer l’élaboration des curricula, la formation des formateurs, la certification, l’acquisition d’équipements pédagogiques et l’accueil des stagiaires ; prévoir un accompagnement particulier pour les apprenants issus de milieux défavorisés et pour les jeunes filles.</w:t>
      </w:r>
    </w:p>
    <w:p w14:paraId="0740AED5" w14:textId="77777777" w:rsidR="00442D31" w:rsidRPr="002802E1" w:rsidRDefault="00442D31" w:rsidP="00442D31">
      <w:pPr>
        <w:pStyle w:val="ListParagraph"/>
        <w:numPr>
          <w:ilvl w:val="0"/>
          <w:numId w:val="38"/>
        </w:numPr>
        <w:spacing w:line="276" w:lineRule="auto"/>
        <w:jc w:val="both"/>
        <w:rPr>
          <w:rFonts w:asciiTheme="majorBidi" w:hAnsiTheme="majorBidi" w:cstheme="majorBidi"/>
        </w:rPr>
      </w:pPr>
      <w:r w:rsidRPr="002802E1">
        <w:rPr>
          <w:rFonts w:asciiTheme="majorBidi" w:hAnsiTheme="majorBidi" w:cstheme="majorBidi"/>
        </w:rPr>
        <w:t xml:space="preserve">Faculté des Sciences </w:t>
      </w:r>
      <w:r w:rsidRPr="002802E1">
        <w:rPr>
          <w:rFonts w:asciiTheme="majorBidi" w:hAnsiTheme="majorBidi" w:cstheme="majorBidi"/>
          <w:b/>
          <w:bCs/>
        </w:rPr>
        <w:t>de</w:t>
      </w:r>
      <w:r w:rsidRPr="002802E1">
        <w:rPr>
          <w:rFonts w:asciiTheme="majorBidi" w:hAnsiTheme="majorBidi" w:cstheme="majorBidi"/>
        </w:rPr>
        <w:t xml:space="preserve"> l’Université de Nouakchott </w:t>
      </w:r>
      <w:r w:rsidRPr="002802E1">
        <w:rPr>
          <w:rFonts w:asciiTheme="majorBidi" w:hAnsiTheme="majorBidi" w:cstheme="majorBidi"/>
          <w:b/>
          <w:bCs/>
        </w:rPr>
        <w:t>:</w:t>
      </w:r>
      <w:r w:rsidRPr="002802E1">
        <w:rPr>
          <w:rFonts w:asciiTheme="majorBidi" w:hAnsiTheme="majorBidi" w:cstheme="majorBidi"/>
        </w:rPr>
        <w:t xml:space="preserve"> accompagner les établissements de formation afin qu’ils disposent de compétences, d’équipements et de programmes adaptés aux besoins du marché, en vue de former de jeunes cadres qualifiés dans les secteurs du pétrole, du gaz et des énergies renouvelables, notamment à travers les actions suivantes :</w:t>
      </w:r>
    </w:p>
    <w:p w14:paraId="577FE2A4" w14:textId="77777777" w:rsidR="00442D31" w:rsidRPr="002802E1" w:rsidRDefault="00442D31" w:rsidP="00442D31">
      <w:pPr>
        <w:pStyle w:val="ListParagraph"/>
        <w:numPr>
          <w:ilvl w:val="1"/>
          <w:numId w:val="38"/>
        </w:numPr>
        <w:shd w:val="clear" w:color="auto" w:fill="FFFFFF"/>
        <w:spacing w:after="0" w:line="276" w:lineRule="auto"/>
        <w:jc w:val="both"/>
        <w:rPr>
          <w:rFonts w:asciiTheme="majorBidi" w:hAnsiTheme="majorBidi" w:cstheme="majorBidi"/>
        </w:rPr>
      </w:pPr>
      <w:r w:rsidRPr="002802E1">
        <w:rPr>
          <w:rFonts w:asciiTheme="majorBidi" w:hAnsiTheme="majorBidi" w:cstheme="majorBidi"/>
        </w:rPr>
        <w:t>Renforcement des capacités : formation des personnels académiques et des techniciens</w:t>
      </w:r>
    </w:p>
    <w:p w14:paraId="60268F6F" w14:textId="77777777" w:rsidR="00442D31" w:rsidRPr="002802E1" w:rsidRDefault="00442D31" w:rsidP="00442D31">
      <w:pPr>
        <w:pStyle w:val="ListParagraph"/>
        <w:numPr>
          <w:ilvl w:val="1"/>
          <w:numId w:val="38"/>
        </w:numPr>
        <w:shd w:val="clear" w:color="auto" w:fill="FFFFFF"/>
        <w:spacing w:after="0" w:line="276" w:lineRule="auto"/>
        <w:jc w:val="both"/>
        <w:rPr>
          <w:rFonts w:asciiTheme="majorBidi" w:hAnsiTheme="majorBidi" w:cstheme="majorBidi"/>
        </w:rPr>
      </w:pPr>
      <w:r w:rsidRPr="002802E1">
        <w:rPr>
          <w:rFonts w:asciiTheme="majorBidi" w:hAnsiTheme="majorBidi" w:cstheme="majorBidi"/>
        </w:rPr>
        <w:t>Création d’un laboratoire de travaux pratiques pour la filière Ingénierie pétrole et gaz, accompagné de l’acquisition de logiciels professionnels de formation tels que Petrel, Landmark, Geomodelar, etc. </w:t>
      </w:r>
    </w:p>
    <w:p w14:paraId="425977B5" w14:textId="77777777" w:rsidR="00442D31" w:rsidRPr="002802E1" w:rsidRDefault="00442D31" w:rsidP="00442D31">
      <w:pPr>
        <w:pStyle w:val="ListParagraph"/>
        <w:numPr>
          <w:ilvl w:val="1"/>
          <w:numId w:val="38"/>
        </w:numPr>
        <w:shd w:val="clear" w:color="auto" w:fill="FFFFFF"/>
        <w:spacing w:after="0" w:line="276" w:lineRule="auto"/>
        <w:jc w:val="both"/>
        <w:rPr>
          <w:rFonts w:asciiTheme="majorBidi" w:hAnsiTheme="majorBidi" w:cstheme="majorBidi"/>
        </w:rPr>
      </w:pPr>
      <w:r w:rsidRPr="002802E1">
        <w:rPr>
          <w:rFonts w:asciiTheme="majorBidi" w:hAnsiTheme="majorBidi" w:cstheme="majorBidi"/>
        </w:rPr>
        <w:t>Développement de l’offre de formation : accompagnement pour la création d’un Master professionnel en ingénierie pétrole et gaz, ainsi que d’une nouvelle filière professionnelle dans le domaine de l’exploitation du pétrole et du gaz (industrie pétrolière et gazière). </w:t>
      </w:r>
    </w:p>
    <w:p w14:paraId="7D52212F" w14:textId="77777777" w:rsidR="00442D31" w:rsidRPr="002802E1" w:rsidRDefault="00442D31" w:rsidP="00442D31">
      <w:pPr>
        <w:pStyle w:val="ListParagraph"/>
        <w:numPr>
          <w:ilvl w:val="1"/>
          <w:numId w:val="38"/>
        </w:numPr>
        <w:shd w:val="clear" w:color="auto" w:fill="FFFFFF"/>
        <w:spacing w:after="0" w:line="276" w:lineRule="auto"/>
        <w:jc w:val="both"/>
        <w:rPr>
          <w:rFonts w:asciiTheme="majorBidi" w:eastAsia="Times New Roman" w:hAnsiTheme="majorBidi" w:cstheme="majorBidi"/>
          <w:lang w:eastAsia="fr-FR"/>
        </w:rPr>
      </w:pPr>
      <w:r w:rsidRPr="002802E1">
        <w:rPr>
          <w:rFonts w:asciiTheme="majorBidi" w:hAnsiTheme="majorBidi" w:cstheme="majorBidi"/>
        </w:rPr>
        <w:t>Renforcement de la filière TSER (Technologie des Systèmes des Entreprises Renouvelables) : acquisition de panneaux solaires, d’instruments de mesure et de logiciels simulateurs</w:t>
      </w:r>
      <w:r w:rsidRPr="002802E1">
        <w:rPr>
          <w:rFonts w:asciiTheme="majorBidi" w:eastAsia="Times New Roman" w:hAnsiTheme="majorBidi" w:cstheme="majorBidi"/>
          <w:lang w:eastAsia="fr-FR"/>
        </w:rPr>
        <w:t>.</w:t>
      </w:r>
    </w:p>
    <w:p w14:paraId="52CFFE63" w14:textId="77777777" w:rsidR="00442D31" w:rsidRPr="002802E1" w:rsidRDefault="00442D31" w:rsidP="00442D31">
      <w:pPr>
        <w:spacing w:line="276" w:lineRule="auto"/>
        <w:jc w:val="both"/>
        <w:rPr>
          <w:rFonts w:asciiTheme="majorBidi" w:hAnsiTheme="majorBidi" w:cstheme="majorBidi"/>
        </w:rPr>
      </w:pPr>
    </w:p>
    <w:p w14:paraId="105EEE9D" w14:textId="77777777" w:rsidR="00442D31" w:rsidRPr="002802E1" w:rsidRDefault="00442D31" w:rsidP="00442D31">
      <w:pPr>
        <w:pStyle w:val="ListParagraph"/>
        <w:numPr>
          <w:ilvl w:val="0"/>
          <w:numId w:val="38"/>
        </w:numPr>
        <w:spacing w:line="276" w:lineRule="auto"/>
        <w:jc w:val="both"/>
        <w:rPr>
          <w:rFonts w:asciiTheme="majorBidi" w:hAnsiTheme="majorBidi" w:cstheme="majorBidi"/>
        </w:rPr>
      </w:pPr>
      <w:r w:rsidRPr="002802E1">
        <w:rPr>
          <w:rFonts w:asciiTheme="majorBidi" w:hAnsiTheme="majorBidi" w:cstheme="majorBidi"/>
        </w:rPr>
        <w:t xml:space="preserve">Société mauritanienne d’électricité </w:t>
      </w:r>
      <w:r w:rsidRPr="002802E1">
        <w:rPr>
          <w:rFonts w:asciiTheme="majorBidi" w:hAnsiTheme="majorBidi" w:cstheme="majorBidi"/>
          <w:b/>
          <w:bCs/>
        </w:rPr>
        <w:t>(SOMELEC) :</w:t>
      </w:r>
      <w:r w:rsidRPr="002802E1">
        <w:rPr>
          <w:rFonts w:asciiTheme="majorBidi" w:hAnsiTheme="majorBidi" w:cstheme="majorBidi"/>
        </w:rPr>
        <w:t xml:space="preserve"> renforcer les moyens de surveillance des lignes électriques, notamment par l’utilisation de drones ; acquérir des logiciels modernes d’exploitation et de maintenance ; renforcer les ressources humaines ; et améliorer la disponibilité, la fiabilité et la sécurité du réseau de transport haute tension.</w:t>
      </w:r>
    </w:p>
    <w:p w14:paraId="24F4BDED" w14:textId="77777777" w:rsidR="00442D31" w:rsidRPr="002802E1" w:rsidRDefault="00442D31" w:rsidP="00442D31">
      <w:pPr>
        <w:pStyle w:val="ListParagraph"/>
        <w:numPr>
          <w:ilvl w:val="1"/>
          <w:numId w:val="38"/>
        </w:numPr>
        <w:shd w:val="clear" w:color="auto" w:fill="FFFFFF"/>
        <w:spacing w:after="0" w:line="276" w:lineRule="auto"/>
        <w:jc w:val="both"/>
        <w:rPr>
          <w:rFonts w:asciiTheme="majorBidi" w:hAnsiTheme="majorBidi" w:cstheme="majorBidi"/>
        </w:rPr>
      </w:pPr>
      <w:r w:rsidRPr="002802E1">
        <w:rPr>
          <w:rFonts w:asciiTheme="majorBidi" w:hAnsiTheme="majorBidi" w:cstheme="majorBidi"/>
        </w:rPr>
        <w:t>Amélioration de la disponibilité et de la fiabilité du réseau de transport HT.</w:t>
      </w:r>
    </w:p>
    <w:p w14:paraId="5C26EC1C" w14:textId="77777777" w:rsidR="00442D31" w:rsidRPr="002802E1" w:rsidRDefault="00442D31" w:rsidP="00442D31">
      <w:pPr>
        <w:pStyle w:val="ListParagraph"/>
        <w:numPr>
          <w:ilvl w:val="0"/>
          <w:numId w:val="40"/>
        </w:numPr>
        <w:spacing w:after="80" w:line="276" w:lineRule="auto"/>
        <w:contextualSpacing w:val="0"/>
        <w:jc w:val="both"/>
        <w:rPr>
          <w:rFonts w:asciiTheme="majorBidi" w:hAnsiTheme="majorBidi" w:cstheme="majorBidi"/>
        </w:rPr>
      </w:pPr>
      <w:r w:rsidRPr="002802E1">
        <w:rPr>
          <w:rFonts w:asciiTheme="majorBidi" w:hAnsiTheme="majorBidi" w:cstheme="majorBidi"/>
        </w:rPr>
        <w:t>Réseau audité, dont la tenue au critère N-1 et aux courants de court-circuit est vérifiée, et plan de protection coordonné</w:t>
      </w:r>
    </w:p>
    <w:p w14:paraId="5C3CE528" w14:textId="77777777" w:rsidR="00442D31" w:rsidRPr="002802E1" w:rsidRDefault="00442D31" w:rsidP="00442D31">
      <w:pPr>
        <w:pStyle w:val="ListParagraph"/>
        <w:numPr>
          <w:ilvl w:val="0"/>
          <w:numId w:val="40"/>
        </w:numPr>
        <w:spacing w:after="80" w:line="276" w:lineRule="auto"/>
        <w:contextualSpacing w:val="0"/>
        <w:jc w:val="both"/>
        <w:rPr>
          <w:rFonts w:asciiTheme="majorBidi" w:hAnsiTheme="majorBidi" w:cstheme="majorBidi"/>
        </w:rPr>
      </w:pPr>
      <w:r w:rsidRPr="002802E1">
        <w:rPr>
          <w:rFonts w:asciiTheme="majorBidi" w:hAnsiTheme="majorBidi" w:cstheme="majorBidi"/>
        </w:rPr>
        <w:t>Réduction des délais d’intervention et des durées d’indisponibilité des ouvrages.</w:t>
      </w:r>
    </w:p>
    <w:p w14:paraId="27301A75" w14:textId="77777777" w:rsidR="00442D31" w:rsidRPr="002802E1" w:rsidRDefault="00442D31" w:rsidP="00442D31">
      <w:pPr>
        <w:pStyle w:val="ListParagraph"/>
        <w:numPr>
          <w:ilvl w:val="0"/>
          <w:numId w:val="40"/>
        </w:numPr>
        <w:spacing w:after="80" w:line="276" w:lineRule="auto"/>
        <w:contextualSpacing w:val="0"/>
        <w:jc w:val="both"/>
        <w:rPr>
          <w:rFonts w:asciiTheme="majorBidi" w:hAnsiTheme="majorBidi" w:cstheme="majorBidi"/>
        </w:rPr>
      </w:pPr>
      <w:r w:rsidRPr="002802E1">
        <w:rPr>
          <w:rFonts w:asciiTheme="majorBidi" w:hAnsiTheme="majorBidi" w:cstheme="majorBidi"/>
        </w:rPr>
        <w:t>Augmentation des capacités de transformation et de la flexibilité d’exploitation des postes concernés.</w:t>
      </w:r>
    </w:p>
    <w:p w14:paraId="7B73B5B2" w14:textId="77777777" w:rsidR="00442D31" w:rsidRPr="002802E1" w:rsidRDefault="00442D31" w:rsidP="00442D31">
      <w:pPr>
        <w:pStyle w:val="ListParagraph"/>
        <w:numPr>
          <w:ilvl w:val="0"/>
          <w:numId w:val="40"/>
        </w:numPr>
        <w:spacing w:after="80" w:line="276" w:lineRule="auto"/>
        <w:contextualSpacing w:val="0"/>
        <w:jc w:val="both"/>
        <w:rPr>
          <w:rFonts w:asciiTheme="majorBidi" w:hAnsiTheme="majorBidi" w:cstheme="majorBidi"/>
        </w:rPr>
      </w:pPr>
      <w:r w:rsidRPr="002802E1">
        <w:rPr>
          <w:rFonts w:asciiTheme="majorBidi" w:hAnsiTheme="majorBidi" w:cstheme="majorBidi"/>
        </w:rPr>
        <w:t>Amélioration de la sécurité du personnel et des installations.</w:t>
      </w:r>
    </w:p>
    <w:p w14:paraId="210E5A89" w14:textId="77777777" w:rsidR="00442D31" w:rsidRPr="002802E1" w:rsidRDefault="00442D31" w:rsidP="00442D31">
      <w:pPr>
        <w:pStyle w:val="ListParagraph"/>
        <w:numPr>
          <w:ilvl w:val="0"/>
          <w:numId w:val="40"/>
        </w:numPr>
        <w:spacing w:after="80" w:line="276" w:lineRule="auto"/>
        <w:contextualSpacing w:val="0"/>
        <w:jc w:val="both"/>
        <w:rPr>
          <w:rFonts w:asciiTheme="majorBidi" w:hAnsiTheme="majorBidi" w:cstheme="majorBidi"/>
        </w:rPr>
      </w:pPr>
      <w:r w:rsidRPr="002802E1">
        <w:rPr>
          <w:rFonts w:asciiTheme="majorBidi" w:hAnsiTheme="majorBidi" w:cstheme="majorBidi"/>
        </w:rPr>
        <w:t>Conduite du réseau plus réactive et mieux coordonnée à l’échelle nationale.</w:t>
      </w:r>
    </w:p>
    <w:p w14:paraId="3EB410C3" w14:textId="77777777" w:rsidR="00442D31" w:rsidRPr="002802E1" w:rsidRDefault="00442D31" w:rsidP="00442D31">
      <w:pPr>
        <w:pStyle w:val="ListParagraph"/>
        <w:numPr>
          <w:ilvl w:val="0"/>
          <w:numId w:val="38"/>
        </w:numPr>
        <w:spacing w:line="276" w:lineRule="auto"/>
        <w:jc w:val="both"/>
        <w:rPr>
          <w:rFonts w:asciiTheme="majorBidi" w:hAnsiTheme="majorBidi" w:cstheme="majorBidi"/>
        </w:rPr>
      </w:pPr>
      <w:r w:rsidRPr="002802E1">
        <w:rPr>
          <w:rFonts w:asciiTheme="majorBidi" w:hAnsiTheme="majorBidi" w:cstheme="majorBidi"/>
        </w:rPr>
        <w:t xml:space="preserve">Une mention spéciale a été faite par l’assistance pour le renforcement des capacités d’une manière générale dans le secteur. </w:t>
      </w:r>
    </w:p>
    <w:p w14:paraId="1CF3DE43" w14:textId="77777777" w:rsidR="00442D31" w:rsidRPr="002802E1" w:rsidRDefault="00442D31" w:rsidP="00442D31">
      <w:pPr>
        <w:pStyle w:val="ListParagraph"/>
        <w:numPr>
          <w:ilvl w:val="0"/>
          <w:numId w:val="38"/>
        </w:numPr>
        <w:spacing w:line="276" w:lineRule="auto"/>
        <w:jc w:val="both"/>
        <w:rPr>
          <w:rFonts w:asciiTheme="majorBidi" w:hAnsiTheme="majorBidi" w:cstheme="majorBidi"/>
        </w:rPr>
      </w:pPr>
      <w:r w:rsidRPr="002802E1">
        <w:rPr>
          <w:rFonts w:asciiTheme="majorBidi" w:hAnsiTheme="majorBidi" w:cstheme="majorBidi"/>
        </w:rPr>
        <w:t>La société civile était représentée par l’ONG « Volunteer HUB Organization VOH » en identifiant l’importance du renforcement des capacités des jeunes, des femmes et de la société civile dans le secteur gazier.</w:t>
      </w:r>
    </w:p>
    <w:p w14:paraId="52A26683" w14:textId="77777777" w:rsidR="00442D31" w:rsidRPr="002802E1" w:rsidRDefault="00442D31" w:rsidP="00442D31">
      <w:pPr>
        <w:pStyle w:val="Heading2"/>
        <w:spacing w:line="276" w:lineRule="auto"/>
        <w:jc w:val="both"/>
        <w:rPr>
          <w:rFonts w:asciiTheme="majorBidi" w:hAnsiTheme="majorBidi"/>
          <w:color w:val="auto"/>
          <w:sz w:val="22"/>
          <w:szCs w:val="22"/>
        </w:rPr>
      </w:pPr>
      <w:r w:rsidRPr="002802E1">
        <w:rPr>
          <w:rFonts w:asciiTheme="majorBidi" w:hAnsiTheme="majorBidi"/>
          <w:color w:val="auto"/>
          <w:sz w:val="22"/>
          <w:szCs w:val="22"/>
        </w:rPr>
        <w:t>5. Conclusions et suites convenues</w:t>
      </w:r>
    </w:p>
    <w:p w14:paraId="3B4395F1" w14:textId="77777777" w:rsidR="00442D31" w:rsidRPr="002802E1" w:rsidRDefault="00442D31" w:rsidP="00442D31">
      <w:pPr>
        <w:spacing w:after="0" w:line="276" w:lineRule="auto"/>
        <w:jc w:val="both"/>
        <w:rPr>
          <w:rFonts w:asciiTheme="majorBidi" w:hAnsiTheme="majorBidi" w:cstheme="majorBidi"/>
        </w:rPr>
      </w:pPr>
      <w:r w:rsidRPr="002802E1">
        <w:rPr>
          <w:rFonts w:asciiTheme="majorBidi" w:hAnsiTheme="majorBidi" w:cstheme="majorBidi"/>
        </w:rPr>
        <w:t>Les représentants des deux unités de gestion du projet ont confirmé que l’ensemble des préoccupations et recommandations formulées avait été consigné. Ils ont également indiqué que le processus de consultation et de mobilisation des parties prenantes se poursuivrait pendant toute la durée de vie du projet.</w:t>
      </w:r>
    </w:p>
    <w:p w14:paraId="2ADC1D09" w14:textId="77777777" w:rsidR="00442D31" w:rsidRPr="002802E1" w:rsidRDefault="00442D31" w:rsidP="00442D31">
      <w:pPr>
        <w:spacing w:after="0" w:line="276" w:lineRule="auto"/>
        <w:jc w:val="both"/>
        <w:rPr>
          <w:rFonts w:asciiTheme="majorBidi" w:hAnsiTheme="majorBidi" w:cstheme="majorBidi"/>
        </w:rPr>
      </w:pPr>
    </w:p>
    <w:p w14:paraId="5952BDFB" w14:textId="77777777" w:rsidR="00442D31" w:rsidRPr="002802E1" w:rsidRDefault="00442D31" w:rsidP="00442D31">
      <w:pPr>
        <w:spacing w:after="0" w:line="276" w:lineRule="auto"/>
        <w:jc w:val="both"/>
        <w:rPr>
          <w:rFonts w:asciiTheme="majorBidi" w:hAnsiTheme="majorBidi" w:cstheme="majorBidi"/>
        </w:rPr>
      </w:pPr>
      <w:r w:rsidRPr="002802E1">
        <w:rPr>
          <w:rFonts w:asciiTheme="majorBidi" w:hAnsiTheme="majorBidi" w:cstheme="majorBidi"/>
        </w:rPr>
        <w:t>Il a été convenu que les besoins prioritaires en renforcement des capacités, en mise à niveau du cadre réglementaire et en évaluation environnementale et sociale stratégique seraient examinés dans le cadre de la préparation et de la mise en œuvre du projet.</w:t>
      </w:r>
    </w:p>
    <w:p w14:paraId="564F2C9C" w14:textId="7F9B24D4" w:rsidR="00442D31" w:rsidRPr="002802E1" w:rsidRDefault="002845AA" w:rsidP="00442D31">
      <w:pPr>
        <w:spacing w:line="276" w:lineRule="auto"/>
        <w:jc w:val="both"/>
        <w:rPr>
          <w:rFonts w:asciiTheme="majorBidi" w:hAnsiTheme="majorBidi" w:cstheme="majorBidi"/>
        </w:rPr>
      </w:pPr>
      <w:r w:rsidRPr="00212E91">
        <w:rPr>
          <w:b/>
          <w:bCs/>
          <w:noProof/>
          <w:sz w:val="24"/>
          <w:szCs w:val="24"/>
        </w:rPr>
        <w:drawing>
          <wp:inline distT="0" distB="0" distL="0" distR="0" wp14:anchorId="7DE0D9AA" wp14:editId="4F3E6DF8">
            <wp:extent cx="5760720" cy="8089149"/>
            <wp:effectExtent l="0" t="0" r="0" b="7620"/>
            <wp:docPr id="12555075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8089149"/>
                    </a:xfrm>
                    <a:prstGeom prst="rect">
                      <a:avLst/>
                    </a:prstGeom>
                    <a:noFill/>
                    <a:ln>
                      <a:noFill/>
                    </a:ln>
                  </pic:spPr>
                </pic:pic>
              </a:graphicData>
            </a:graphic>
          </wp:inline>
        </w:drawing>
      </w:r>
    </w:p>
    <w:sectPr w:rsidR="00442D31" w:rsidRPr="002802E1" w:rsidSect="0083496A">
      <w:footerReference w:type="even" r:id="rId11"/>
      <w:footerReference w:type="defaul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A5B97" w14:textId="77777777" w:rsidR="00564E15" w:rsidRDefault="00564E15" w:rsidP="0083496A">
      <w:pPr>
        <w:spacing w:after="0" w:line="240" w:lineRule="auto"/>
      </w:pPr>
      <w:r>
        <w:separator/>
      </w:r>
    </w:p>
  </w:endnote>
  <w:endnote w:type="continuationSeparator" w:id="0">
    <w:p w14:paraId="37CC35D5" w14:textId="77777777" w:rsidR="00564E15" w:rsidRDefault="00564E15" w:rsidP="0083496A">
      <w:pPr>
        <w:spacing w:after="0" w:line="240" w:lineRule="auto"/>
      </w:pPr>
      <w:r>
        <w:continuationSeparator/>
      </w:r>
    </w:p>
  </w:endnote>
  <w:endnote w:id="1">
    <w:p w14:paraId="5A1EFC1B" w14:textId="77777777" w:rsidR="0083496A" w:rsidRPr="00DD76DA" w:rsidRDefault="0083496A" w:rsidP="0083496A">
      <w:pPr>
        <w:spacing w:after="0" w:line="240" w:lineRule="auto"/>
        <w:rPr>
          <w:sz w:val="18"/>
          <w:szCs w:val="18"/>
        </w:rPr>
      </w:pPr>
    </w:p>
    <w:p w14:paraId="71BA90D1" w14:textId="77777777" w:rsidR="0083496A" w:rsidRPr="00DD76DA" w:rsidRDefault="0083496A" w:rsidP="0083496A">
      <w:pPr>
        <w:spacing w:after="0" w:line="240" w:lineRule="auto"/>
        <w:rPr>
          <w:sz w:val="18"/>
          <w:szCs w:val="18"/>
        </w:rPr>
      </w:pPr>
    </w:p>
    <w:p w14:paraId="1D52892E" w14:textId="77777777" w:rsidR="0083496A" w:rsidRPr="00DD76DA" w:rsidRDefault="0083496A" w:rsidP="0083496A">
      <w:pPr>
        <w:tabs>
          <w:tab w:val="left" w:pos="1450"/>
        </w:tabs>
        <w:spacing w:after="0" w:line="240" w:lineRule="auto"/>
        <w:rPr>
          <w:sz w:val="18"/>
          <w:szCs w:val="18"/>
        </w:rPr>
      </w:pPr>
      <w:r w:rsidRPr="00DD76DA">
        <w:rPr>
          <w:sz w:val="18"/>
          <w:szCs w:val="18"/>
        </w:rPr>
        <w:tab/>
      </w:r>
    </w:p>
    <w:p w14:paraId="026568E1" w14:textId="77777777" w:rsidR="0083496A" w:rsidRPr="00DD76DA" w:rsidRDefault="0083496A" w:rsidP="0083496A">
      <w:pPr>
        <w:tabs>
          <w:tab w:val="left" w:pos="1450"/>
        </w:tabs>
        <w:spacing w:after="0" w:line="240" w:lineRule="auto"/>
        <w:rPr>
          <w:sz w:val="18"/>
          <w:szCs w:val="18"/>
        </w:rPr>
      </w:pPr>
    </w:p>
    <w:p w14:paraId="077537F0" w14:textId="77777777" w:rsidR="0083496A" w:rsidRPr="00DD76DA" w:rsidRDefault="0083496A" w:rsidP="0083496A">
      <w:pPr>
        <w:spacing w:after="0" w:line="240" w:lineRule="auto"/>
        <w:rPr>
          <w:sz w:val="18"/>
          <w:szCs w:val="18"/>
        </w:rPr>
      </w:pPr>
    </w:p>
    <w:p w14:paraId="36EFAE82" w14:textId="77777777" w:rsidR="0083496A" w:rsidRPr="00DD76DA" w:rsidRDefault="0083496A" w:rsidP="0083496A">
      <w:pPr>
        <w:spacing w:after="0" w:line="240" w:lineRule="auto"/>
        <w:rPr>
          <w:sz w:val="18"/>
          <w:szCs w:val="18"/>
        </w:rPr>
      </w:pPr>
    </w:p>
    <w:p w14:paraId="2406842A" w14:textId="77777777" w:rsidR="0083496A" w:rsidRPr="00DD76DA" w:rsidRDefault="0083496A" w:rsidP="0083496A">
      <w:pPr>
        <w:spacing w:after="0" w:line="240" w:lineRule="auto"/>
        <w:rPr>
          <w:sz w:val="18"/>
          <w:szCs w:val="18"/>
        </w:rPr>
      </w:pPr>
    </w:p>
    <w:p w14:paraId="29090CBC" w14:textId="77777777" w:rsidR="0083496A" w:rsidRPr="00DD76DA" w:rsidRDefault="0083496A" w:rsidP="0083496A">
      <w:pPr>
        <w:spacing w:after="0" w:line="240" w:lineRule="auto"/>
        <w:rPr>
          <w:sz w:val="18"/>
          <w:szCs w:val="18"/>
        </w:rPr>
      </w:pPr>
    </w:p>
    <w:p w14:paraId="5B3A5B17" w14:textId="77777777" w:rsidR="0083496A" w:rsidRPr="00DD76DA" w:rsidRDefault="0083496A" w:rsidP="0083496A">
      <w:pPr>
        <w:spacing w:after="0" w:line="240" w:lineRule="auto"/>
        <w:rPr>
          <w:sz w:val="18"/>
          <w:szCs w:val="18"/>
        </w:rPr>
      </w:pPr>
    </w:p>
    <w:p w14:paraId="68C5768B" w14:textId="77777777" w:rsidR="0083496A" w:rsidRPr="00DD76DA" w:rsidRDefault="0083496A" w:rsidP="0083496A">
      <w:pPr>
        <w:spacing w:after="0" w:line="240" w:lineRule="auto"/>
        <w:rPr>
          <w:sz w:val="18"/>
          <w:szCs w:val="18"/>
        </w:rPr>
      </w:pPr>
    </w:p>
    <w:p w14:paraId="7A618FA1" w14:textId="77777777" w:rsidR="0083496A" w:rsidRPr="00DD76DA" w:rsidRDefault="0083496A" w:rsidP="0083496A">
      <w:pPr>
        <w:spacing w:after="0" w:line="240" w:lineRule="auto"/>
        <w:rPr>
          <w:sz w:val="18"/>
          <w:szCs w:val="18"/>
        </w:rPr>
      </w:pPr>
    </w:p>
    <w:p w14:paraId="0BD00B3A" w14:textId="77777777" w:rsidR="0083496A" w:rsidRPr="00DD76DA" w:rsidRDefault="0083496A" w:rsidP="0083496A">
      <w:pPr>
        <w:spacing w:after="0" w:line="240" w:lineRule="auto"/>
        <w:rPr>
          <w:sz w:val="18"/>
          <w:szCs w:val="18"/>
        </w:rPr>
      </w:pPr>
    </w:p>
    <w:p w14:paraId="474B6DBC" w14:textId="77777777" w:rsidR="0083496A" w:rsidRPr="00DD76DA" w:rsidRDefault="0083496A" w:rsidP="0083496A">
      <w:pPr>
        <w:spacing w:after="0" w:line="240" w:lineRule="auto"/>
        <w:rPr>
          <w:sz w:val="18"/>
          <w:szCs w:val="18"/>
        </w:rPr>
      </w:pPr>
    </w:p>
    <w:p w14:paraId="33BDB1F2" w14:textId="77777777" w:rsidR="0083496A" w:rsidRPr="00DD76DA" w:rsidRDefault="0083496A" w:rsidP="0083496A">
      <w:pPr>
        <w:spacing w:after="0" w:line="240" w:lineRule="auto"/>
        <w:rPr>
          <w:sz w:val="18"/>
          <w:szCs w:val="18"/>
        </w:rPr>
      </w:pPr>
    </w:p>
    <w:p w14:paraId="0F6052EE" w14:textId="77777777" w:rsidR="0083496A" w:rsidRPr="00DD76DA" w:rsidRDefault="0083496A" w:rsidP="0083496A">
      <w:pPr>
        <w:spacing w:after="0" w:line="240" w:lineRule="auto"/>
        <w:rPr>
          <w:sz w:val="18"/>
          <w:szCs w:val="18"/>
        </w:rPr>
      </w:pPr>
    </w:p>
    <w:p w14:paraId="7D5A28E8" w14:textId="77777777" w:rsidR="0083496A" w:rsidRPr="00DD76DA" w:rsidRDefault="0083496A" w:rsidP="0083496A">
      <w:pPr>
        <w:spacing w:after="0" w:line="240" w:lineRule="auto"/>
        <w:rPr>
          <w:sz w:val="18"/>
          <w:szCs w:val="18"/>
        </w:rPr>
      </w:pPr>
    </w:p>
    <w:p w14:paraId="06E0522F" w14:textId="77777777" w:rsidR="0083496A" w:rsidRPr="00DD76DA" w:rsidRDefault="0083496A" w:rsidP="0083496A">
      <w:pPr>
        <w:spacing w:after="0" w:line="240" w:lineRule="auto"/>
        <w:rPr>
          <w:sz w:val="18"/>
          <w:szCs w:val="18"/>
        </w:rPr>
      </w:pPr>
    </w:p>
    <w:p w14:paraId="66BD78F6" w14:textId="77777777" w:rsidR="0083496A" w:rsidRPr="00DD76DA" w:rsidRDefault="0083496A" w:rsidP="0083496A">
      <w:pPr>
        <w:spacing w:after="0" w:line="240" w:lineRule="auto"/>
        <w:rPr>
          <w:sz w:val="18"/>
          <w:szCs w:val="18"/>
        </w:rPr>
      </w:pPr>
    </w:p>
    <w:p w14:paraId="0DD675CC" w14:textId="77777777" w:rsidR="0083496A" w:rsidRPr="00DD76DA" w:rsidRDefault="0083496A" w:rsidP="0083496A">
      <w:pPr>
        <w:spacing w:after="0" w:line="240" w:lineRule="auto"/>
        <w:rPr>
          <w:sz w:val="18"/>
          <w:szCs w:val="18"/>
        </w:rPr>
      </w:pPr>
    </w:p>
    <w:p w14:paraId="7771D352" w14:textId="77777777" w:rsidR="0083496A" w:rsidRPr="00DD76DA" w:rsidRDefault="0083496A" w:rsidP="0083496A">
      <w:pPr>
        <w:spacing w:after="0" w:line="240" w:lineRule="auto"/>
        <w:rPr>
          <w:sz w:val="18"/>
          <w:szCs w:val="18"/>
        </w:rPr>
      </w:pPr>
    </w:p>
    <w:p w14:paraId="64C4E42D" w14:textId="77777777" w:rsidR="0083496A" w:rsidRPr="00DD76DA" w:rsidRDefault="0083496A" w:rsidP="0083496A">
      <w:pPr>
        <w:spacing w:after="0" w:line="240" w:lineRule="auto"/>
        <w:rPr>
          <w:sz w:val="18"/>
          <w:szCs w:val="18"/>
        </w:rPr>
      </w:pPr>
    </w:p>
    <w:p w14:paraId="7072880F" w14:textId="77777777" w:rsidR="0083496A" w:rsidRPr="00DD76DA" w:rsidRDefault="0083496A" w:rsidP="0083496A">
      <w:pPr>
        <w:spacing w:after="0" w:line="240" w:lineRule="auto"/>
        <w:rPr>
          <w:sz w:val="18"/>
          <w:szCs w:val="18"/>
        </w:rPr>
      </w:pPr>
    </w:p>
    <w:p w14:paraId="74DA8EFF" w14:textId="77777777" w:rsidR="0083496A" w:rsidRPr="00DD76DA" w:rsidRDefault="0083496A" w:rsidP="0083496A">
      <w:pPr>
        <w:spacing w:after="0" w:line="240" w:lineRule="auto"/>
        <w:rPr>
          <w:sz w:val="18"/>
          <w:szCs w:val="18"/>
        </w:rPr>
      </w:pPr>
    </w:p>
    <w:p w14:paraId="7FACCE09" w14:textId="77777777" w:rsidR="0083496A" w:rsidRPr="00DD76DA" w:rsidRDefault="0083496A" w:rsidP="0083496A">
      <w:pPr>
        <w:spacing w:after="0" w:line="240" w:lineRule="auto"/>
        <w:rPr>
          <w:sz w:val="18"/>
          <w:szCs w:val="18"/>
        </w:rPr>
      </w:pPr>
    </w:p>
    <w:p w14:paraId="236923C9" w14:textId="77777777" w:rsidR="0083496A" w:rsidRPr="00DD76DA" w:rsidRDefault="0083496A" w:rsidP="0083496A">
      <w:pPr>
        <w:spacing w:after="0" w:line="240" w:lineRule="auto"/>
        <w:rPr>
          <w:sz w:val="18"/>
          <w:szCs w:val="18"/>
        </w:rPr>
      </w:pPr>
    </w:p>
    <w:p w14:paraId="138E9AE2" w14:textId="77777777" w:rsidR="0083496A" w:rsidRPr="00DD76DA" w:rsidRDefault="0083496A" w:rsidP="0083496A">
      <w:pPr>
        <w:spacing w:after="0" w:line="240" w:lineRule="auto"/>
        <w:rPr>
          <w:sz w:val="18"/>
          <w:szCs w:val="18"/>
        </w:rPr>
      </w:pPr>
    </w:p>
    <w:p w14:paraId="60D880CE" w14:textId="77777777" w:rsidR="0083496A" w:rsidRPr="00DD76DA" w:rsidRDefault="0083496A" w:rsidP="0083496A">
      <w:pPr>
        <w:spacing w:after="0" w:line="240" w:lineRule="auto"/>
        <w:rPr>
          <w:sz w:val="18"/>
          <w:szCs w:val="18"/>
        </w:rPr>
      </w:pPr>
    </w:p>
    <w:p w14:paraId="6CD23B38" w14:textId="77777777" w:rsidR="0083496A" w:rsidRPr="00DD76DA" w:rsidRDefault="0083496A" w:rsidP="0083496A">
      <w:pPr>
        <w:spacing w:after="0" w:line="240" w:lineRule="auto"/>
        <w:rPr>
          <w:sz w:val="18"/>
          <w:szCs w:val="18"/>
        </w:rPr>
      </w:pPr>
    </w:p>
    <w:p w14:paraId="5836D21F" w14:textId="77777777" w:rsidR="0083496A" w:rsidRPr="00DD76DA" w:rsidRDefault="0083496A" w:rsidP="0083496A">
      <w:pPr>
        <w:spacing w:after="0" w:line="240" w:lineRule="auto"/>
        <w:rPr>
          <w:sz w:val="18"/>
          <w:szCs w:val="18"/>
        </w:rPr>
      </w:pPr>
    </w:p>
    <w:p w14:paraId="4A27D5FD" w14:textId="77777777" w:rsidR="0083496A" w:rsidRPr="00DD76DA" w:rsidRDefault="0083496A" w:rsidP="0083496A">
      <w:pPr>
        <w:spacing w:after="0" w:line="240" w:lineRule="auto"/>
        <w:rPr>
          <w:sz w:val="18"/>
          <w:szCs w:val="18"/>
        </w:rPr>
      </w:pPr>
    </w:p>
    <w:p w14:paraId="754925DF" w14:textId="77777777" w:rsidR="0083496A" w:rsidRPr="00DD76DA" w:rsidRDefault="0083496A" w:rsidP="0083496A">
      <w:pPr>
        <w:spacing w:after="0" w:line="240" w:lineRule="auto"/>
        <w:rPr>
          <w:sz w:val="18"/>
          <w:szCs w:val="18"/>
        </w:rPr>
      </w:pPr>
    </w:p>
    <w:p w14:paraId="123EC97C" w14:textId="77777777" w:rsidR="0083496A" w:rsidRPr="00DD76DA" w:rsidRDefault="0083496A" w:rsidP="0083496A">
      <w:pPr>
        <w:spacing w:after="0" w:line="240" w:lineRule="auto"/>
        <w:rPr>
          <w:sz w:val="18"/>
          <w:szCs w:val="18"/>
        </w:rPr>
      </w:pPr>
    </w:p>
    <w:p w14:paraId="0DC45C10" w14:textId="77777777" w:rsidR="0083496A" w:rsidRPr="00DD76DA" w:rsidRDefault="0083496A" w:rsidP="0083496A">
      <w:pPr>
        <w:spacing w:after="0" w:line="240" w:lineRule="auto"/>
        <w:rPr>
          <w:sz w:val="18"/>
          <w:szCs w:val="18"/>
        </w:rPr>
      </w:pPr>
    </w:p>
    <w:p w14:paraId="410C8643" w14:textId="77777777" w:rsidR="0083496A" w:rsidRPr="00DD76DA" w:rsidRDefault="0083496A" w:rsidP="0083496A">
      <w:pPr>
        <w:spacing w:after="0" w:line="240" w:lineRule="auto"/>
        <w:rPr>
          <w:sz w:val="18"/>
          <w:szCs w:val="18"/>
        </w:rPr>
      </w:pPr>
    </w:p>
    <w:p w14:paraId="188797E0" w14:textId="77777777" w:rsidR="0083496A" w:rsidRPr="00DD76DA" w:rsidRDefault="0083496A" w:rsidP="0083496A">
      <w:pPr>
        <w:spacing w:after="0" w:line="240" w:lineRule="auto"/>
        <w:rPr>
          <w:sz w:val="18"/>
          <w:szCs w:val="18"/>
        </w:rPr>
      </w:pPr>
    </w:p>
    <w:p w14:paraId="24DA368E" w14:textId="77777777" w:rsidR="0083496A" w:rsidRPr="00DD76DA" w:rsidRDefault="0083496A" w:rsidP="0083496A">
      <w:pPr>
        <w:spacing w:after="0" w:line="240" w:lineRule="auto"/>
        <w:rPr>
          <w:sz w:val="18"/>
          <w:szCs w:val="18"/>
        </w:rPr>
      </w:pPr>
    </w:p>
    <w:p w14:paraId="626BB8AE" w14:textId="77777777" w:rsidR="0083496A" w:rsidRPr="00DD76DA" w:rsidRDefault="0083496A" w:rsidP="0083496A">
      <w:pPr>
        <w:spacing w:after="0" w:line="240" w:lineRule="auto"/>
        <w:rPr>
          <w:sz w:val="18"/>
          <w:szCs w:val="18"/>
        </w:rPr>
      </w:pPr>
    </w:p>
    <w:p w14:paraId="5998D5E8" w14:textId="77777777" w:rsidR="0083496A" w:rsidRPr="00DD76DA" w:rsidRDefault="0083496A" w:rsidP="0083496A">
      <w:pPr>
        <w:spacing w:after="0" w:line="240" w:lineRule="auto"/>
        <w:rPr>
          <w:sz w:val="18"/>
          <w:szCs w:val="18"/>
        </w:rPr>
      </w:pPr>
    </w:p>
    <w:p w14:paraId="5753184C" w14:textId="77777777" w:rsidR="0083496A" w:rsidRPr="00DD76DA" w:rsidRDefault="0083496A" w:rsidP="0083496A">
      <w:pPr>
        <w:spacing w:after="0" w:line="240" w:lineRule="auto"/>
        <w:rPr>
          <w:sz w:val="18"/>
          <w:szCs w:val="18"/>
        </w:rPr>
      </w:pPr>
    </w:p>
    <w:p w14:paraId="29D7EE7B" w14:textId="77777777" w:rsidR="0083496A" w:rsidRPr="00DD76DA" w:rsidRDefault="0083496A" w:rsidP="0083496A">
      <w:pPr>
        <w:spacing w:after="0" w:line="240" w:lineRule="auto"/>
        <w:rPr>
          <w:sz w:val="18"/>
          <w:szCs w:val="18"/>
        </w:rPr>
      </w:pPr>
    </w:p>
    <w:p w14:paraId="5BE4BA7A" w14:textId="77777777" w:rsidR="0083496A" w:rsidRPr="00DD76DA" w:rsidRDefault="0083496A" w:rsidP="0083496A">
      <w:pPr>
        <w:spacing w:after="0" w:line="240" w:lineRule="auto"/>
        <w:rPr>
          <w:sz w:val="18"/>
          <w:szCs w:val="18"/>
        </w:rPr>
      </w:pPr>
    </w:p>
    <w:p w14:paraId="70D2B355" w14:textId="77777777" w:rsidR="0083496A" w:rsidRPr="00DD76DA" w:rsidRDefault="0083496A" w:rsidP="0083496A">
      <w:pPr>
        <w:spacing w:after="0" w:line="240" w:lineRule="auto"/>
        <w:rPr>
          <w:sz w:val="18"/>
          <w:szCs w:val="18"/>
        </w:rPr>
      </w:pPr>
    </w:p>
    <w:p w14:paraId="5E36BBFD" w14:textId="77777777" w:rsidR="0083496A" w:rsidRPr="00DD76DA" w:rsidRDefault="0083496A" w:rsidP="0083496A">
      <w:pPr>
        <w:spacing w:after="0" w:line="240" w:lineRule="auto"/>
        <w:rPr>
          <w:sz w:val="18"/>
          <w:szCs w:val="18"/>
        </w:rPr>
      </w:pPr>
    </w:p>
    <w:p w14:paraId="1F93315B" w14:textId="77777777" w:rsidR="00D91DBF" w:rsidRPr="0028784E" w:rsidRDefault="00D91DBF" w:rsidP="00F23265">
      <w:pPr>
        <w:spacing w:after="0" w:line="240" w:lineRule="auto"/>
        <w:rPr>
          <w:b/>
          <w:bCs/>
          <w:sz w:val="24"/>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rlito">
    <w:altName w:val="Calibri"/>
    <w:charset w:val="00"/>
    <w:family w:val="swiss"/>
    <w:pitch w:val="variable"/>
  </w:font>
  <w:font w:name="Calibri Light">
    <w:panose1 w:val="020F0302020204030204"/>
    <w:charset w:val="00"/>
    <w:family w:val="swiss"/>
    <w:pitch w:val="variable"/>
    <w:sig w:usb0="E4002EFF" w:usb1="C200247B" w:usb2="00000009" w:usb3="00000000" w:csb0="000001FF" w:csb1="00000000"/>
  </w:font>
  <w:font w:name="LouguiyaFR">
    <w:altName w:val="Calibri"/>
    <w:charset w:val="00"/>
    <w:family w:val="swiss"/>
    <w:pitch w:val="variable"/>
    <w:sig w:usb0="00000003" w:usb1="00000000" w:usb2="00000000" w:usb3="00000000" w:csb0="00000001" w:csb1="00000000"/>
  </w:font>
  <w:font w:name="Louguiya">
    <w:altName w:val="Calibri"/>
    <w:charset w:val="B2"/>
    <w:family w:val="auto"/>
    <w:pitch w:val="variable"/>
    <w:sig w:usb0="00002001" w:usb1="80000000" w:usb2="00000008" w:usb3="00000000" w:csb0="00000041"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C3C11" w14:textId="0787097A" w:rsidR="005467CD" w:rsidRPr="00DD76DA" w:rsidRDefault="002604F6">
    <w:pPr>
      <w:pStyle w:val="Footer"/>
    </w:pPr>
    <w:r>
      <w:rPr>
        <w:noProof/>
      </w:rPr>
      <mc:AlternateContent>
        <mc:Choice Requires="wps">
          <w:drawing>
            <wp:anchor distT="0" distB="0" distL="0" distR="0" simplePos="0" relativeHeight="251658241" behindDoc="0" locked="0" layoutInCell="1" allowOverlap="1" wp14:anchorId="6283527A" wp14:editId="1854D455">
              <wp:simplePos x="635" y="635"/>
              <wp:positionH relativeFrom="page">
                <wp:align>right</wp:align>
              </wp:positionH>
              <wp:positionV relativeFrom="page">
                <wp:align>bottom</wp:align>
              </wp:positionV>
              <wp:extent cx="1158875" cy="352425"/>
              <wp:effectExtent l="0" t="0" r="0" b="0"/>
              <wp:wrapNone/>
              <wp:docPr id="155669858"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52425"/>
                      </a:xfrm>
                      <a:prstGeom prst="rect">
                        <a:avLst/>
                      </a:prstGeom>
                      <a:noFill/>
                      <a:ln>
                        <a:noFill/>
                      </a:ln>
                    </wps:spPr>
                    <wps:txbx>
                      <w:txbxContent>
                        <w:p w14:paraId="12D6A73F" w14:textId="4FDACF70" w:rsidR="002604F6" w:rsidRPr="002604F6" w:rsidRDefault="002604F6" w:rsidP="002604F6">
                          <w:pPr>
                            <w:spacing w:after="0"/>
                            <w:rPr>
                              <w:rFonts w:ascii="Aptos" w:eastAsia="Aptos" w:hAnsi="Aptos" w:cs="Aptos"/>
                              <w:noProof/>
                              <w:color w:val="000000"/>
                              <w:sz w:val="20"/>
                              <w:szCs w:val="20"/>
                            </w:rPr>
                          </w:pPr>
                          <w:r w:rsidRPr="002604F6">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283527A" id="_x0000_t202" coordsize="21600,21600" o:spt="202" path="m,l,21600r21600,l21600,xe">
              <v:stroke joinstyle="miter"/>
              <v:path gradientshapeok="t" o:connecttype="rect"/>
            </v:shapetype>
            <v:shape id="Text Box 2" o:spid="_x0000_s1026" type="#_x0000_t202" alt="Official Use Only" style="position:absolute;margin-left:40.05pt;margin-top:0;width:91.25pt;height:27.75pt;z-index:251658241;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" filled="f" stroked="f">
              <v:textbox style="mso-fit-shape-to-text:t" inset="0,0,20pt,15pt">
                <w:txbxContent>
                  <w:p w14:paraId="12D6A73F" w14:textId="4FDACF70" w:rsidR="002604F6" w:rsidRPr="002604F6" w:rsidRDefault="002604F6" w:rsidP="002604F6">
                    <w:pPr>
                      <w:spacing w:after="0"/>
                      <w:rPr>
                        <w:rFonts w:ascii="Aptos" w:eastAsia="Aptos" w:hAnsi="Aptos" w:cs="Aptos"/>
                        <w:noProof/>
                        <w:color w:val="000000"/>
                        <w:sz w:val="20"/>
                        <w:szCs w:val="20"/>
                      </w:rPr>
                    </w:pPr>
                    <w:r w:rsidRPr="002604F6">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3660557"/>
      <w:docPartObj>
        <w:docPartGallery w:val="Page Numbers (Bottom of Page)"/>
        <w:docPartUnique/>
      </w:docPartObj>
    </w:sdtPr>
    <w:sdtEndPr>
      <w:rPr>
        <w:color w:val="7F7F7F" w:themeColor="background1" w:themeShade="7F"/>
        <w:spacing w:val="60"/>
      </w:rPr>
    </w:sdtEndPr>
    <w:sdtContent>
      <w:p w14:paraId="5E47D7DB" w14:textId="1C2A0FCA" w:rsidR="002D0A6E" w:rsidRDefault="002D0A6E">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514717B6" w14:textId="40E64DEA" w:rsidR="005467CD" w:rsidRPr="00DD76DA" w:rsidRDefault="005467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D98FC" w14:textId="70224A16" w:rsidR="005467CD" w:rsidRPr="00DD76DA" w:rsidRDefault="002604F6">
    <w:pPr>
      <w:pStyle w:val="Footer"/>
    </w:pPr>
    <w:r>
      <w:rPr>
        <w:noProof/>
      </w:rPr>
      <mc:AlternateContent>
        <mc:Choice Requires="wps">
          <w:drawing>
            <wp:anchor distT="0" distB="0" distL="0" distR="0" simplePos="0" relativeHeight="251658240" behindDoc="0" locked="0" layoutInCell="1" allowOverlap="1" wp14:anchorId="6E81111F" wp14:editId="466D7271">
              <wp:simplePos x="635" y="635"/>
              <wp:positionH relativeFrom="page">
                <wp:align>right</wp:align>
              </wp:positionH>
              <wp:positionV relativeFrom="page">
                <wp:align>bottom</wp:align>
              </wp:positionV>
              <wp:extent cx="1158875" cy="352425"/>
              <wp:effectExtent l="0" t="0" r="0" b="0"/>
              <wp:wrapNone/>
              <wp:docPr id="720542724"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52425"/>
                      </a:xfrm>
                      <a:prstGeom prst="rect">
                        <a:avLst/>
                      </a:prstGeom>
                      <a:noFill/>
                      <a:ln>
                        <a:noFill/>
                      </a:ln>
                    </wps:spPr>
                    <wps:txbx>
                      <w:txbxContent>
                        <w:p w14:paraId="46F51E80" w14:textId="449FEDAA" w:rsidR="002604F6" w:rsidRPr="002604F6" w:rsidRDefault="002604F6" w:rsidP="002604F6">
                          <w:pPr>
                            <w:spacing w:after="0"/>
                            <w:rPr>
                              <w:rFonts w:ascii="Aptos" w:eastAsia="Aptos" w:hAnsi="Aptos" w:cs="Aptos"/>
                              <w:noProof/>
                              <w:color w:val="000000"/>
                              <w:sz w:val="20"/>
                              <w:szCs w:val="20"/>
                            </w:rPr>
                          </w:pPr>
                          <w:r w:rsidRPr="002604F6">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E81111F" id="_x0000_t202" coordsize="21600,21600" o:spt="202" path="m,l,21600r21600,l21600,xe">
              <v:stroke joinstyle="miter"/>
              <v:path gradientshapeok="t" o:connecttype="rect"/>
            </v:shapetype>
            <v:shape id="Text Box 1" o:spid="_x0000_s1027" type="#_x0000_t202" alt="Official Use Only" style="position:absolute;margin-left:40.05pt;margin-top:0;width:91.25pt;height:27.7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" filled="f" stroked="f">
              <v:textbox style="mso-fit-shape-to-text:t" inset="0,0,20pt,15pt">
                <w:txbxContent>
                  <w:p w14:paraId="46F51E80" w14:textId="449FEDAA" w:rsidR="002604F6" w:rsidRPr="002604F6" w:rsidRDefault="002604F6" w:rsidP="002604F6">
                    <w:pPr>
                      <w:spacing w:after="0"/>
                      <w:rPr>
                        <w:rFonts w:ascii="Aptos" w:eastAsia="Aptos" w:hAnsi="Aptos" w:cs="Aptos"/>
                        <w:noProof/>
                        <w:color w:val="000000"/>
                        <w:sz w:val="20"/>
                        <w:szCs w:val="20"/>
                      </w:rPr>
                    </w:pPr>
                    <w:r w:rsidRPr="002604F6">
                      <w:rPr>
                        <w:rFonts w:ascii="Aptos" w:eastAsia="Aptos" w:hAnsi="Aptos" w:cs="Aptos"/>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DE14D" w14:textId="77777777" w:rsidR="00564E15" w:rsidRDefault="00564E15" w:rsidP="0083496A">
      <w:pPr>
        <w:spacing w:after="0" w:line="240" w:lineRule="auto"/>
      </w:pPr>
      <w:r>
        <w:separator/>
      </w:r>
    </w:p>
  </w:footnote>
  <w:footnote w:type="continuationSeparator" w:id="0">
    <w:p w14:paraId="0B300A0B" w14:textId="77777777" w:rsidR="00564E15" w:rsidRDefault="00564E15" w:rsidP="008349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5580"/>
    <w:multiLevelType w:val="hybridMultilevel"/>
    <w:tmpl w:val="9E16441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4E0329"/>
    <w:multiLevelType w:val="multilevel"/>
    <w:tmpl w:val="D9B0B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2B33B7"/>
    <w:multiLevelType w:val="multilevel"/>
    <w:tmpl w:val="6B227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9C6889"/>
    <w:multiLevelType w:val="multilevel"/>
    <w:tmpl w:val="47B2D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D364A3"/>
    <w:multiLevelType w:val="hybridMultilevel"/>
    <w:tmpl w:val="F358290C"/>
    <w:lvl w:ilvl="0" w:tplc="793A2E06">
      <w:start w:val="1"/>
      <w:numFmt w:val="lowerRoman"/>
      <w:lvlText w:val="%1)"/>
      <w:lvlJc w:val="left"/>
      <w:pPr>
        <w:ind w:left="1440" w:hanging="720"/>
      </w:pPr>
      <w:rPr>
        <w:rFonts w:hint="default"/>
      </w:r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15:restartNumberingAfterBreak="0">
    <w:nsid w:val="120208C6"/>
    <w:multiLevelType w:val="multilevel"/>
    <w:tmpl w:val="99AC0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811B7B"/>
    <w:multiLevelType w:val="multilevel"/>
    <w:tmpl w:val="CA8AB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FB72E0"/>
    <w:multiLevelType w:val="multilevel"/>
    <w:tmpl w:val="7870B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5F74CA"/>
    <w:multiLevelType w:val="multilevel"/>
    <w:tmpl w:val="502CF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C051EA"/>
    <w:multiLevelType w:val="multilevel"/>
    <w:tmpl w:val="91086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E30D0D"/>
    <w:multiLevelType w:val="multilevel"/>
    <w:tmpl w:val="D1486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C702541"/>
    <w:multiLevelType w:val="multilevel"/>
    <w:tmpl w:val="EE0AB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E1A0AB5"/>
    <w:multiLevelType w:val="multilevel"/>
    <w:tmpl w:val="EB604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95307E"/>
    <w:multiLevelType w:val="multilevel"/>
    <w:tmpl w:val="F9026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C6147B6"/>
    <w:multiLevelType w:val="multilevel"/>
    <w:tmpl w:val="9148D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7863A4"/>
    <w:multiLevelType w:val="hybridMultilevel"/>
    <w:tmpl w:val="9D7C2BB2"/>
    <w:lvl w:ilvl="0" w:tplc="53E4CAF0">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F8D686C"/>
    <w:multiLevelType w:val="multilevel"/>
    <w:tmpl w:val="A30EC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7D51CF3"/>
    <w:multiLevelType w:val="hybridMultilevel"/>
    <w:tmpl w:val="D0F4A8F4"/>
    <w:lvl w:ilvl="0" w:tplc="040C0003">
      <w:start w:val="1"/>
      <w:numFmt w:val="bullet"/>
      <w:lvlText w:val="o"/>
      <w:lvlJc w:val="left"/>
      <w:pPr>
        <w:ind w:left="1920" w:hanging="360"/>
      </w:pPr>
      <w:rPr>
        <w:rFonts w:ascii="Courier New" w:hAnsi="Courier New" w:cs="Courier New" w:hint="default"/>
      </w:rPr>
    </w:lvl>
    <w:lvl w:ilvl="1" w:tplc="FFFFFFFF">
      <w:start w:val="1"/>
      <w:numFmt w:val="bullet"/>
      <w:lvlText w:val="o"/>
      <w:lvlJc w:val="left"/>
      <w:pPr>
        <w:ind w:left="2640" w:hanging="360"/>
      </w:pPr>
      <w:rPr>
        <w:rFonts w:ascii="Courier New" w:hAnsi="Courier New" w:cs="Courier New" w:hint="default"/>
      </w:rPr>
    </w:lvl>
    <w:lvl w:ilvl="2" w:tplc="FFFFFFFF">
      <w:start w:val="1"/>
      <w:numFmt w:val="bullet"/>
      <w:lvlText w:val=""/>
      <w:lvlJc w:val="left"/>
      <w:pPr>
        <w:ind w:left="3360" w:hanging="360"/>
      </w:pPr>
      <w:rPr>
        <w:rFonts w:ascii="Wingdings" w:hAnsi="Wingdings" w:hint="default"/>
      </w:rPr>
    </w:lvl>
    <w:lvl w:ilvl="3" w:tplc="FFFFFFFF" w:tentative="1">
      <w:start w:val="1"/>
      <w:numFmt w:val="bullet"/>
      <w:lvlText w:val=""/>
      <w:lvlJc w:val="left"/>
      <w:pPr>
        <w:ind w:left="4080" w:hanging="360"/>
      </w:pPr>
      <w:rPr>
        <w:rFonts w:ascii="Symbol" w:hAnsi="Symbol" w:hint="default"/>
      </w:rPr>
    </w:lvl>
    <w:lvl w:ilvl="4" w:tplc="FFFFFFFF" w:tentative="1">
      <w:start w:val="1"/>
      <w:numFmt w:val="bullet"/>
      <w:lvlText w:val="o"/>
      <w:lvlJc w:val="left"/>
      <w:pPr>
        <w:ind w:left="4800" w:hanging="360"/>
      </w:pPr>
      <w:rPr>
        <w:rFonts w:ascii="Courier New" w:hAnsi="Courier New" w:cs="Courier New" w:hint="default"/>
      </w:rPr>
    </w:lvl>
    <w:lvl w:ilvl="5" w:tplc="FFFFFFFF" w:tentative="1">
      <w:start w:val="1"/>
      <w:numFmt w:val="bullet"/>
      <w:lvlText w:val=""/>
      <w:lvlJc w:val="left"/>
      <w:pPr>
        <w:ind w:left="5520" w:hanging="360"/>
      </w:pPr>
      <w:rPr>
        <w:rFonts w:ascii="Wingdings" w:hAnsi="Wingdings" w:hint="default"/>
      </w:rPr>
    </w:lvl>
    <w:lvl w:ilvl="6" w:tplc="FFFFFFFF" w:tentative="1">
      <w:start w:val="1"/>
      <w:numFmt w:val="bullet"/>
      <w:lvlText w:val=""/>
      <w:lvlJc w:val="left"/>
      <w:pPr>
        <w:ind w:left="6240" w:hanging="360"/>
      </w:pPr>
      <w:rPr>
        <w:rFonts w:ascii="Symbol" w:hAnsi="Symbol" w:hint="default"/>
      </w:rPr>
    </w:lvl>
    <w:lvl w:ilvl="7" w:tplc="FFFFFFFF" w:tentative="1">
      <w:start w:val="1"/>
      <w:numFmt w:val="bullet"/>
      <w:lvlText w:val="o"/>
      <w:lvlJc w:val="left"/>
      <w:pPr>
        <w:ind w:left="6960" w:hanging="360"/>
      </w:pPr>
      <w:rPr>
        <w:rFonts w:ascii="Courier New" w:hAnsi="Courier New" w:cs="Courier New" w:hint="default"/>
      </w:rPr>
    </w:lvl>
    <w:lvl w:ilvl="8" w:tplc="FFFFFFFF" w:tentative="1">
      <w:start w:val="1"/>
      <w:numFmt w:val="bullet"/>
      <w:lvlText w:val=""/>
      <w:lvlJc w:val="left"/>
      <w:pPr>
        <w:ind w:left="7680" w:hanging="360"/>
      </w:pPr>
      <w:rPr>
        <w:rFonts w:ascii="Wingdings" w:hAnsi="Wingdings" w:hint="default"/>
      </w:rPr>
    </w:lvl>
  </w:abstractNum>
  <w:abstractNum w:abstractNumId="18" w15:restartNumberingAfterBreak="0">
    <w:nsid w:val="3C7E413E"/>
    <w:multiLevelType w:val="hybridMultilevel"/>
    <w:tmpl w:val="FFFFFFFF"/>
    <w:lvl w:ilvl="0" w:tplc="038098FE">
      <w:start w:val="1"/>
      <w:numFmt w:val="bullet"/>
      <w:lvlText w:val=""/>
      <w:lvlJc w:val="left"/>
      <w:pPr>
        <w:ind w:left="720" w:hanging="360"/>
      </w:pPr>
      <w:rPr>
        <w:rFonts w:ascii="Symbol" w:hAnsi="Symbol" w:hint="default"/>
      </w:rPr>
    </w:lvl>
    <w:lvl w:ilvl="1" w:tplc="C4580136">
      <w:start w:val="1"/>
      <w:numFmt w:val="bullet"/>
      <w:lvlText w:val="o"/>
      <w:lvlJc w:val="left"/>
      <w:pPr>
        <w:ind w:left="1440" w:hanging="360"/>
      </w:pPr>
      <w:rPr>
        <w:rFonts w:ascii="Courier New" w:hAnsi="Courier New" w:hint="default"/>
      </w:rPr>
    </w:lvl>
    <w:lvl w:ilvl="2" w:tplc="D092F764">
      <w:start w:val="1"/>
      <w:numFmt w:val="bullet"/>
      <w:lvlText w:val=""/>
      <w:lvlJc w:val="left"/>
      <w:pPr>
        <w:ind w:left="2160" w:hanging="360"/>
      </w:pPr>
      <w:rPr>
        <w:rFonts w:ascii="Wingdings" w:hAnsi="Wingdings" w:hint="default"/>
      </w:rPr>
    </w:lvl>
    <w:lvl w:ilvl="3" w:tplc="55C836FC">
      <w:start w:val="1"/>
      <w:numFmt w:val="bullet"/>
      <w:lvlText w:val=""/>
      <w:lvlJc w:val="left"/>
      <w:pPr>
        <w:ind w:left="2880" w:hanging="360"/>
      </w:pPr>
      <w:rPr>
        <w:rFonts w:ascii="Symbol" w:hAnsi="Symbol" w:hint="default"/>
      </w:rPr>
    </w:lvl>
    <w:lvl w:ilvl="4" w:tplc="A9CA5232">
      <w:start w:val="1"/>
      <w:numFmt w:val="bullet"/>
      <w:lvlText w:val="o"/>
      <w:lvlJc w:val="left"/>
      <w:pPr>
        <w:ind w:left="3600" w:hanging="360"/>
      </w:pPr>
      <w:rPr>
        <w:rFonts w:ascii="Courier New" w:hAnsi="Courier New" w:hint="default"/>
      </w:rPr>
    </w:lvl>
    <w:lvl w:ilvl="5" w:tplc="9E62ADC8">
      <w:start w:val="1"/>
      <w:numFmt w:val="bullet"/>
      <w:lvlText w:val=""/>
      <w:lvlJc w:val="left"/>
      <w:pPr>
        <w:ind w:left="4320" w:hanging="360"/>
      </w:pPr>
      <w:rPr>
        <w:rFonts w:ascii="Wingdings" w:hAnsi="Wingdings" w:hint="default"/>
      </w:rPr>
    </w:lvl>
    <w:lvl w:ilvl="6" w:tplc="3E969546">
      <w:start w:val="1"/>
      <w:numFmt w:val="bullet"/>
      <w:lvlText w:val=""/>
      <w:lvlJc w:val="left"/>
      <w:pPr>
        <w:ind w:left="5040" w:hanging="360"/>
      </w:pPr>
      <w:rPr>
        <w:rFonts w:ascii="Symbol" w:hAnsi="Symbol" w:hint="default"/>
      </w:rPr>
    </w:lvl>
    <w:lvl w:ilvl="7" w:tplc="26D62334">
      <w:start w:val="1"/>
      <w:numFmt w:val="bullet"/>
      <w:lvlText w:val="o"/>
      <w:lvlJc w:val="left"/>
      <w:pPr>
        <w:ind w:left="5760" w:hanging="360"/>
      </w:pPr>
      <w:rPr>
        <w:rFonts w:ascii="Courier New" w:hAnsi="Courier New" w:hint="default"/>
      </w:rPr>
    </w:lvl>
    <w:lvl w:ilvl="8" w:tplc="D10C43A2">
      <w:start w:val="1"/>
      <w:numFmt w:val="bullet"/>
      <w:lvlText w:val=""/>
      <w:lvlJc w:val="left"/>
      <w:pPr>
        <w:ind w:left="6480" w:hanging="360"/>
      </w:pPr>
      <w:rPr>
        <w:rFonts w:ascii="Wingdings" w:hAnsi="Wingdings" w:hint="default"/>
      </w:rPr>
    </w:lvl>
  </w:abstractNum>
  <w:abstractNum w:abstractNumId="19" w15:restartNumberingAfterBreak="0">
    <w:nsid w:val="3F9A253D"/>
    <w:multiLevelType w:val="hybridMultilevel"/>
    <w:tmpl w:val="3F9A253D"/>
    <w:lvl w:ilvl="0" w:tplc="3A6C8C7A">
      <w:start w:val="1"/>
      <w:numFmt w:val="bullet"/>
      <w:lvlText w:val="§"/>
      <w:lvlJc w:val="left"/>
      <w:pPr>
        <w:ind w:left="720" w:hanging="360"/>
      </w:pPr>
      <w:rPr>
        <w:rFonts w:ascii="Wingdings" w:hAnsi="Wingdings" w:hint="default"/>
      </w:rPr>
    </w:lvl>
    <w:lvl w:ilvl="1" w:tplc="8ECE1F3E">
      <w:start w:val="1"/>
      <w:numFmt w:val="bullet"/>
      <w:lvlText w:val="o"/>
      <w:lvlJc w:val="left"/>
      <w:pPr>
        <w:ind w:left="1440" w:hanging="360"/>
      </w:pPr>
      <w:rPr>
        <w:rFonts w:ascii="Courier New" w:hAnsi="Courier New" w:hint="default"/>
      </w:rPr>
    </w:lvl>
    <w:lvl w:ilvl="2" w:tplc="0C58E554">
      <w:start w:val="1"/>
      <w:numFmt w:val="bullet"/>
      <w:lvlText w:val=""/>
      <w:lvlJc w:val="left"/>
      <w:pPr>
        <w:ind w:left="2160" w:hanging="360"/>
      </w:pPr>
      <w:rPr>
        <w:rFonts w:ascii="Wingdings" w:hAnsi="Wingdings" w:hint="default"/>
      </w:rPr>
    </w:lvl>
    <w:lvl w:ilvl="3" w:tplc="8444BDEA">
      <w:start w:val="1"/>
      <w:numFmt w:val="bullet"/>
      <w:lvlText w:val=""/>
      <w:lvlJc w:val="left"/>
      <w:pPr>
        <w:ind w:left="2880" w:hanging="360"/>
      </w:pPr>
      <w:rPr>
        <w:rFonts w:ascii="Symbol" w:hAnsi="Symbol" w:hint="default"/>
      </w:rPr>
    </w:lvl>
    <w:lvl w:ilvl="4" w:tplc="44D4D3F8">
      <w:start w:val="1"/>
      <w:numFmt w:val="bullet"/>
      <w:lvlText w:val="o"/>
      <w:lvlJc w:val="left"/>
      <w:pPr>
        <w:ind w:left="3600" w:hanging="360"/>
      </w:pPr>
      <w:rPr>
        <w:rFonts w:ascii="Courier New" w:hAnsi="Courier New" w:hint="default"/>
      </w:rPr>
    </w:lvl>
    <w:lvl w:ilvl="5" w:tplc="77A0BCD4">
      <w:start w:val="1"/>
      <w:numFmt w:val="bullet"/>
      <w:lvlText w:val=""/>
      <w:lvlJc w:val="left"/>
      <w:pPr>
        <w:ind w:left="4320" w:hanging="360"/>
      </w:pPr>
      <w:rPr>
        <w:rFonts w:ascii="Wingdings" w:hAnsi="Wingdings" w:hint="default"/>
      </w:rPr>
    </w:lvl>
    <w:lvl w:ilvl="6" w:tplc="9BC678F0">
      <w:start w:val="1"/>
      <w:numFmt w:val="bullet"/>
      <w:lvlText w:val=""/>
      <w:lvlJc w:val="left"/>
      <w:pPr>
        <w:ind w:left="5040" w:hanging="360"/>
      </w:pPr>
      <w:rPr>
        <w:rFonts w:ascii="Symbol" w:hAnsi="Symbol" w:hint="default"/>
      </w:rPr>
    </w:lvl>
    <w:lvl w:ilvl="7" w:tplc="10DAF2A8">
      <w:start w:val="1"/>
      <w:numFmt w:val="bullet"/>
      <w:lvlText w:val="o"/>
      <w:lvlJc w:val="left"/>
      <w:pPr>
        <w:ind w:left="5760" w:hanging="360"/>
      </w:pPr>
      <w:rPr>
        <w:rFonts w:ascii="Courier New" w:hAnsi="Courier New" w:hint="default"/>
      </w:rPr>
    </w:lvl>
    <w:lvl w:ilvl="8" w:tplc="E204501C">
      <w:start w:val="1"/>
      <w:numFmt w:val="bullet"/>
      <w:lvlText w:val=""/>
      <w:lvlJc w:val="left"/>
      <w:pPr>
        <w:ind w:left="6480" w:hanging="360"/>
      </w:pPr>
      <w:rPr>
        <w:rFonts w:ascii="Wingdings" w:hAnsi="Wingdings" w:hint="default"/>
      </w:rPr>
    </w:lvl>
  </w:abstractNum>
  <w:abstractNum w:abstractNumId="20" w15:restartNumberingAfterBreak="0">
    <w:nsid w:val="415A622B"/>
    <w:multiLevelType w:val="hybridMultilevel"/>
    <w:tmpl w:val="91ACD5DC"/>
    <w:lvl w:ilvl="0" w:tplc="040C0001">
      <w:start w:val="1"/>
      <w:numFmt w:val="bullet"/>
      <w:lvlText w:val=""/>
      <w:lvlJc w:val="left"/>
      <w:pPr>
        <w:ind w:left="1193" w:hanging="360"/>
      </w:pPr>
      <w:rPr>
        <w:rFonts w:ascii="Symbol" w:hAnsi="Symbol" w:hint="default"/>
      </w:rPr>
    </w:lvl>
    <w:lvl w:ilvl="1" w:tplc="040C0003">
      <w:start w:val="1"/>
      <w:numFmt w:val="bullet"/>
      <w:lvlText w:val="o"/>
      <w:lvlJc w:val="left"/>
      <w:pPr>
        <w:ind w:left="1913" w:hanging="360"/>
      </w:pPr>
      <w:rPr>
        <w:rFonts w:ascii="Courier New" w:hAnsi="Courier New" w:cs="Courier New" w:hint="default"/>
      </w:rPr>
    </w:lvl>
    <w:lvl w:ilvl="2" w:tplc="040C0005">
      <w:start w:val="1"/>
      <w:numFmt w:val="bullet"/>
      <w:lvlText w:val=""/>
      <w:lvlJc w:val="left"/>
      <w:pPr>
        <w:ind w:left="2633" w:hanging="360"/>
      </w:pPr>
      <w:rPr>
        <w:rFonts w:ascii="Wingdings" w:hAnsi="Wingdings" w:hint="default"/>
      </w:rPr>
    </w:lvl>
    <w:lvl w:ilvl="3" w:tplc="040C0001" w:tentative="1">
      <w:start w:val="1"/>
      <w:numFmt w:val="bullet"/>
      <w:lvlText w:val=""/>
      <w:lvlJc w:val="left"/>
      <w:pPr>
        <w:ind w:left="3353" w:hanging="360"/>
      </w:pPr>
      <w:rPr>
        <w:rFonts w:ascii="Symbol" w:hAnsi="Symbol" w:hint="default"/>
      </w:rPr>
    </w:lvl>
    <w:lvl w:ilvl="4" w:tplc="040C0003" w:tentative="1">
      <w:start w:val="1"/>
      <w:numFmt w:val="bullet"/>
      <w:lvlText w:val="o"/>
      <w:lvlJc w:val="left"/>
      <w:pPr>
        <w:ind w:left="4073" w:hanging="360"/>
      </w:pPr>
      <w:rPr>
        <w:rFonts w:ascii="Courier New" w:hAnsi="Courier New" w:cs="Courier New" w:hint="default"/>
      </w:rPr>
    </w:lvl>
    <w:lvl w:ilvl="5" w:tplc="040C0005" w:tentative="1">
      <w:start w:val="1"/>
      <w:numFmt w:val="bullet"/>
      <w:lvlText w:val=""/>
      <w:lvlJc w:val="left"/>
      <w:pPr>
        <w:ind w:left="4793" w:hanging="360"/>
      </w:pPr>
      <w:rPr>
        <w:rFonts w:ascii="Wingdings" w:hAnsi="Wingdings" w:hint="default"/>
      </w:rPr>
    </w:lvl>
    <w:lvl w:ilvl="6" w:tplc="040C0001" w:tentative="1">
      <w:start w:val="1"/>
      <w:numFmt w:val="bullet"/>
      <w:lvlText w:val=""/>
      <w:lvlJc w:val="left"/>
      <w:pPr>
        <w:ind w:left="5513" w:hanging="360"/>
      </w:pPr>
      <w:rPr>
        <w:rFonts w:ascii="Symbol" w:hAnsi="Symbol" w:hint="default"/>
      </w:rPr>
    </w:lvl>
    <w:lvl w:ilvl="7" w:tplc="040C0003" w:tentative="1">
      <w:start w:val="1"/>
      <w:numFmt w:val="bullet"/>
      <w:lvlText w:val="o"/>
      <w:lvlJc w:val="left"/>
      <w:pPr>
        <w:ind w:left="6233" w:hanging="360"/>
      </w:pPr>
      <w:rPr>
        <w:rFonts w:ascii="Courier New" w:hAnsi="Courier New" w:cs="Courier New" w:hint="default"/>
      </w:rPr>
    </w:lvl>
    <w:lvl w:ilvl="8" w:tplc="040C0005" w:tentative="1">
      <w:start w:val="1"/>
      <w:numFmt w:val="bullet"/>
      <w:lvlText w:val=""/>
      <w:lvlJc w:val="left"/>
      <w:pPr>
        <w:ind w:left="6953" w:hanging="360"/>
      </w:pPr>
      <w:rPr>
        <w:rFonts w:ascii="Wingdings" w:hAnsi="Wingdings" w:hint="default"/>
      </w:rPr>
    </w:lvl>
  </w:abstractNum>
  <w:abstractNum w:abstractNumId="21" w15:restartNumberingAfterBreak="0">
    <w:nsid w:val="421B5262"/>
    <w:multiLevelType w:val="multilevel"/>
    <w:tmpl w:val="621AF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5DC3983"/>
    <w:multiLevelType w:val="multilevel"/>
    <w:tmpl w:val="490A5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8674CA8"/>
    <w:multiLevelType w:val="multilevel"/>
    <w:tmpl w:val="F7D683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AAF6E56"/>
    <w:multiLevelType w:val="multilevel"/>
    <w:tmpl w:val="69DA5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2F122CB"/>
    <w:multiLevelType w:val="hybridMultilevel"/>
    <w:tmpl w:val="DECCD1BE"/>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8E353D1"/>
    <w:multiLevelType w:val="multilevel"/>
    <w:tmpl w:val="6A3E4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C091F0D"/>
    <w:multiLevelType w:val="multilevel"/>
    <w:tmpl w:val="E9C01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CE91DE0"/>
    <w:multiLevelType w:val="multilevel"/>
    <w:tmpl w:val="8482E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F5C0FCB"/>
    <w:multiLevelType w:val="multilevel"/>
    <w:tmpl w:val="FD82F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10C5C97"/>
    <w:multiLevelType w:val="multilevel"/>
    <w:tmpl w:val="A1388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5553AC2"/>
    <w:multiLevelType w:val="multilevel"/>
    <w:tmpl w:val="C8B8C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5DF5A4C"/>
    <w:multiLevelType w:val="multilevel"/>
    <w:tmpl w:val="C4F0E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BAD1915"/>
    <w:multiLevelType w:val="hybridMultilevel"/>
    <w:tmpl w:val="03D6860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15:restartNumberingAfterBreak="0">
    <w:nsid w:val="6C1F38D2"/>
    <w:multiLevelType w:val="hybridMultilevel"/>
    <w:tmpl w:val="3168D4A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702E6947"/>
    <w:multiLevelType w:val="multilevel"/>
    <w:tmpl w:val="30A0E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20D32F2"/>
    <w:multiLevelType w:val="multilevel"/>
    <w:tmpl w:val="524CB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348613D"/>
    <w:multiLevelType w:val="multilevel"/>
    <w:tmpl w:val="5ADAD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7652AC9"/>
    <w:multiLevelType w:val="multilevel"/>
    <w:tmpl w:val="47B69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9B01B40"/>
    <w:multiLevelType w:val="hybridMultilevel"/>
    <w:tmpl w:val="53AED16A"/>
    <w:lvl w:ilvl="0" w:tplc="AC084CE8">
      <w:start w:val="1"/>
      <w:numFmt w:val="bullet"/>
      <w:lvlText w:val="·"/>
      <w:lvlJc w:val="left"/>
      <w:pPr>
        <w:tabs>
          <w:tab w:val="num" w:pos="720"/>
        </w:tabs>
        <w:ind w:left="720" w:hanging="360"/>
      </w:pPr>
      <w:rPr>
        <w:rFonts w:ascii="Symbol" w:hAnsi="Symbol" w:hint="default"/>
        <w:sz w:val="20"/>
      </w:rPr>
    </w:lvl>
    <w:lvl w:ilvl="1" w:tplc="F4BA34B4" w:tentative="1">
      <w:start w:val="1"/>
      <w:numFmt w:val="bullet"/>
      <w:lvlText w:val="o"/>
      <w:lvlJc w:val="left"/>
      <w:pPr>
        <w:tabs>
          <w:tab w:val="num" w:pos="1440"/>
        </w:tabs>
        <w:ind w:left="1440" w:hanging="360"/>
      </w:pPr>
      <w:rPr>
        <w:rFonts w:ascii="Courier New" w:hAnsi="Courier New" w:hint="default"/>
        <w:sz w:val="20"/>
      </w:rPr>
    </w:lvl>
    <w:lvl w:ilvl="2" w:tplc="5E58CBB8" w:tentative="1">
      <w:start w:val="1"/>
      <w:numFmt w:val="bullet"/>
      <w:lvlText w:val=""/>
      <w:lvlJc w:val="left"/>
      <w:pPr>
        <w:tabs>
          <w:tab w:val="num" w:pos="2160"/>
        </w:tabs>
        <w:ind w:left="2160" w:hanging="360"/>
      </w:pPr>
      <w:rPr>
        <w:rFonts w:ascii="Wingdings" w:hAnsi="Wingdings" w:hint="default"/>
        <w:sz w:val="20"/>
      </w:rPr>
    </w:lvl>
    <w:lvl w:ilvl="3" w:tplc="F4DE736C" w:tentative="1">
      <w:start w:val="1"/>
      <w:numFmt w:val="bullet"/>
      <w:lvlText w:val=""/>
      <w:lvlJc w:val="left"/>
      <w:pPr>
        <w:tabs>
          <w:tab w:val="num" w:pos="2880"/>
        </w:tabs>
        <w:ind w:left="2880" w:hanging="360"/>
      </w:pPr>
      <w:rPr>
        <w:rFonts w:ascii="Wingdings" w:hAnsi="Wingdings" w:hint="default"/>
        <w:sz w:val="20"/>
      </w:rPr>
    </w:lvl>
    <w:lvl w:ilvl="4" w:tplc="5CC67910" w:tentative="1">
      <w:start w:val="1"/>
      <w:numFmt w:val="bullet"/>
      <w:lvlText w:val=""/>
      <w:lvlJc w:val="left"/>
      <w:pPr>
        <w:tabs>
          <w:tab w:val="num" w:pos="3600"/>
        </w:tabs>
        <w:ind w:left="3600" w:hanging="360"/>
      </w:pPr>
      <w:rPr>
        <w:rFonts w:ascii="Wingdings" w:hAnsi="Wingdings" w:hint="default"/>
        <w:sz w:val="20"/>
      </w:rPr>
    </w:lvl>
    <w:lvl w:ilvl="5" w:tplc="DB9ED450" w:tentative="1">
      <w:start w:val="1"/>
      <w:numFmt w:val="bullet"/>
      <w:lvlText w:val=""/>
      <w:lvlJc w:val="left"/>
      <w:pPr>
        <w:tabs>
          <w:tab w:val="num" w:pos="4320"/>
        </w:tabs>
        <w:ind w:left="4320" w:hanging="360"/>
      </w:pPr>
      <w:rPr>
        <w:rFonts w:ascii="Wingdings" w:hAnsi="Wingdings" w:hint="default"/>
        <w:sz w:val="20"/>
      </w:rPr>
    </w:lvl>
    <w:lvl w:ilvl="6" w:tplc="B936D72C" w:tentative="1">
      <w:start w:val="1"/>
      <w:numFmt w:val="bullet"/>
      <w:lvlText w:val=""/>
      <w:lvlJc w:val="left"/>
      <w:pPr>
        <w:tabs>
          <w:tab w:val="num" w:pos="5040"/>
        </w:tabs>
        <w:ind w:left="5040" w:hanging="360"/>
      </w:pPr>
      <w:rPr>
        <w:rFonts w:ascii="Wingdings" w:hAnsi="Wingdings" w:hint="default"/>
        <w:sz w:val="20"/>
      </w:rPr>
    </w:lvl>
    <w:lvl w:ilvl="7" w:tplc="72C8EF82" w:tentative="1">
      <w:start w:val="1"/>
      <w:numFmt w:val="bullet"/>
      <w:lvlText w:val=""/>
      <w:lvlJc w:val="left"/>
      <w:pPr>
        <w:tabs>
          <w:tab w:val="num" w:pos="5760"/>
        </w:tabs>
        <w:ind w:left="5760" w:hanging="360"/>
      </w:pPr>
      <w:rPr>
        <w:rFonts w:ascii="Wingdings" w:hAnsi="Wingdings" w:hint="default"/>
        <w:sz w:val="20"/>
      </w:rPr>
    </w:lvl>
    <w:lvl w:ilvl="8" w:tplc="0A220F34"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EF01A84"/>
    <w:multiLevelType w:val="hybridMultilevel"/>
    <w:tmpl w:val="346803F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16529422">
    <w:abstractNumId w:val="18"/>
  </w:num>
  <w:num w:numId="2" w16cid:durableId="1568344861">
    <w:abstractNumId w:val="12"/>
  </w:num>
  <w:num w:numId="3" w16cid:durableId="722143135">
    <w:abstractNumId w:val="39"/>
  </w:num>
  <w:num w:numId="4" w16cid:durableId="1302538671">
    <w:abstractNumId w:val="35"/>
  </w:num>
  <w:num w:numId="5" w16cid:durableId="1051810419">
    <w:abstractNumId w:val="28"/>
  </w:num>
  <w:num w:numId="6" w16cid:durableId="1050694150">
    <w:abstractNumId w:val="21"/>
  </w:num>
  <w:num w:numId="7" w16cid:durableId="585648119">
    <w:abstractNumId w:val="1"/>
  </w:num>
  <w:num w:numId="8" w16cid:durableId="1762140405">
    <w:abstractNumId w:val="5"/>
  </w:num>
  <w:num w:numId="9" w16cid:durableId="1713460888">
    <w:abstractNumId w:val="13"/>
  </w:num>
  <w:num w:numId="10" w16cid:durableId="923954850">
    <w:abstractNumId w:val="2"/>
  </w:num>
  <w:num w:numId="11" w16cid:durableId="532959130">
    <w:abstractNumId w:val="11"/>
  </w:num>
  <w:num w:numId="12" w16cid:durableId="623271687">
    <w:abstractNumId w:val="9"/>
  </w:num>
  <w:num w:numId="13" w16cid:durableId="587347089">
    <w:abstractNumId w:val="32"/>
  </w:num>
  <w:num w:numId="14" w16cid:durableId="1387298230">
    <w:abstractNumId w:val="31"/>
  </w:num>
  <w:num w:numId="15" w16cid:durableId="1911113309">
    <w:abstractNumId w:val="3"/>
  </w:num>
  <w:num w:numId="16" w16cid:durableId="1782409913">
    <w:abstractNumId w:val="10"/>
  </w:num>
  <w:num w:numId="17" w16cid:durableId="1456562517">
    <w:abstractNumId w:val="6"/>
  </w:num>
  <w:num w:numId="18" w16cid:durableId="1398044399">
    <w:abstractNumId w:val="22"/>
  </w:num>
  <w:num w:numId="19" w16cid:durableId="1620257232">
    <w:abstractNumId w:val="36"/>
  </w:num>
  <w:num w:numId="20" w16cid:durableId="1904290469">
    <w:abstractNumId w:val="26"/>
  </w:num>
  <w:num w:numId="21" w16cid:durableId="2076275960">
    <w:abstractNumId w:val="16"/>
  </w:num>
  <w:num w:numId="22" w16cid:durableId="1173449534">
    <w:abstractNumId w:val="7"/>
  </w:num>
  <w:num w:numId="23" w16cid:durableId="1058090553">
    <w:abstractNumId w:val="38"/>
  </w:num>
  <w:num w:numId="24" w16cid:durableId="1184436129">
    <w:abstractNumId w:val="37"/>
  </w:num>
  <w:num w:numId="25" w16cid:durableId="1658143333">
    <w:abstractNumId w:val="24"/>
  </w:num>
  <w:num w:numId="26" w16cid:durableId="1912814269">
    <w:abstractNumId w:val="29"/>
  </w:num>
  <w:num w:numId="27" w16cid:durableId="822817330">
    <w:abstractNumId w:val="8"/>
  </w:num>
  <w:num w:numId="28" w16cid:durableId="477037456">
    <w:abstractNumId w:val="27"/>
  </w:num>
  <w:num w:numId="29" w16cid:durableId="496771433">
    <w:abstractNumId w:val="30"/>
  </w:num>
  <w:num w:numId="30" w16cid:durableId="1022054816">
    <w:abstractNumId w:val="15"/>
  </w:num>
  <w:num w:numId="31" w16cid:durableId="1995061587">
    <w:abstractNumId w:val="14"/>
  </w:num>
  <w:num w:numId="32" w16cid:durableId="286162429">
    <w:abstractNumId w:val="19"/>
  </w:num>
  <w:num w:numId="33" w16cid:durableId="1025055260">
    <w:abstractNumId w:val="33"/>
  </w:num>
  <w:num w:numId="34" w16cid:durableId="1089354571">
    <w:abstractNumId w:val="34"/>
  </w:num>
  <w:num w:numId="35" w16cid:durableId="1084955849">
    <w:abstractNumId w:val="23"/>
  </w:num>
  <w:num w:numId="36" w16cid:durableId="1849177454">
    <w:abstractNumId w:val="0"/>
  </w:num>
  <w:num w:numId="37" w16cid:durableId="107361494">
    <w:abstractNumId w:val="4"/>
  </w:num>
  <w:num w:numId="38" w16cid:durableId="66658102">
    <w:abstractNumId w:val="20"/>
  </w:num>
  <w:num w:numId="39" w16cid:durableId="1367370057">
    <w:abstractNumId w:val="25"/>
  </w:num>
  <w:num w:numId="40" w16cid:durableId="1168397614">
    <w:abstractNumId w:val="17"/>
  </w:num>
  <w:num w:numId="41" w16cid:durableId="702442676">
    <w:abstractNumId w:val="4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96A"/>
    <w:rsid w:val="0000189D"/>
    <w:rsid w:val="00013FD5"/>
    <w:rsid w:val="00037DA1"/>
    <w:rsid w:val="00057B45"/>
    <w:rsid w:val="00061C2D"/>
    <w:rsid w:val="000807F8"/>
    <w:rsid w:val="00085282"/>
    <w:rsid w:val="000A5C8E"/>
    <w:rsid w:val="000B3325"/>
    <w:rsid w:val="000E1E6F"/>
    <w:rsid w:val="000F3797"/>
    <w:rsid w:val="000F6AF8"/>
    <w:rsid w:val="00105482"/>
    <w:rsid w:val="00123DEE"/>
    <w:rsid w:val="00133EF0"/>
    <w:rsid w:val="0014132F"/>
    <w:rsid w:val="00143061"/>
    <w:rsid w:val="001454B7"/>
    <w:rsid w:val="00151CE7"/>
    <w:rsid w:val="00165DF7"/>
    <w:rsid w:val="00176031"/>
    <w:rsid w:val="001A3D9E"/>
    <w:rsid w:val="001C24F2"/>
    <w:rsid w:val="001C6869"/>
    <w:rsid w:val="00207E5A"/>
    <w:rsid w:val="002107D0"/>
    <w:rsid w:val="00212E91"/>
    <w:rsid w:val="00215FD4"/>
    <w:rsid w:val="0021649C"/>
    <w:rsid w:val="002424DD"/>
    <w:rsid w:val="002604F6"/>
    <w:rsid w:val="00271C55"/>
    <w:rsid w:val="0027346F"/>
    <w:rsid w:val="00281A5B"/>
    <w:rsid w:val="002845AA"/>
    <w:rsid w:val="00286B0E"/>
    <w:rsid w:val="002A19DB"/>
    <w:rsid w:val="002B27C3"/>
    <w:rsid w:val="002B3EA8"/>
    <w:rsid w:val="002C278A"/>
    <w:rsid w:val="002C5EC5"/>
    <w:rsid w:val="002D0A6E"/>
    <w:rsid w:val="002D5EB9"/>
    <w:rsid w:val="002E2D83"/>
    <w:rsid w:val="002F7613"/>
    <w:rsid w:val="003011CF"/>
    <w:rsid w:val="00321A64"/>
    <w:rsid w:val="00344077"/>
    <w:rsid w:val="003539D5"/>
    <w:rsid w:val="00382028"/>
    <w:rsid w:val="0039798C"/>
    <w:rsid w:val="003B0A00"/>
    <w:rsid w:val="003C2D80"/>
    <w:rsid w:val="003D099C"/>
    <w:rsid w:val="003D48CE"/>
    <w:rsid w:val="003F1900"/>
    <w:rsid w:val="00420794"/>
    <w:rsid w:val="00424639"/>
    <w:rsid w:val="00425CE0"/>
    <w:rsid w:val="00433D9E"/>
    <w:rsid w:val="00436FC0"/>
    <w:rsid w:val="004411B0"/>
    <w:rsid w:val="00442D31"/>
    <w:rsid w:val="004579ED"/>
    <w:rsid w:val="004638BA"/>
    <w:rsid w:val="00485206"/>
    <w:rsid w:val="004D3988"/>
    <w:rsid w:val="004E654F"/>
    <w:rsid w:val="004F4828"/>
    <w:rsid w:val="00517F5A"/>
    <w:rsid w:val="00530F3F"/>
    <w:rsid w:val="00530F83"/>
    <w:rsid w:val="00545AE8"/>
    <w:rsid w:val="005467CD"/>
    <w:rsid w:val="00551738"/>
    <w:rsid w:val="00564E15"/>
    <w:rsid w:val="005725DB"/>
    <w:rsid w:val="00590E4D"/>
    <w:rsid w:val="00591E3B"/>
    <w:rsid w:val="005A3B53"/>
    <w:rsid w:val="005A6812"/>
    <w:rsid w:val="005B4BFC"/>
    <w:rsid w:val="005D4F99"/>
    <w:rsid w:val="005D61E7"/>
    <w:rsid w:val="005D7378"/>
    <w:rsid w:val="00602036"/>
    <w:rsid w:val="00603EF1"/>
    <w:rsid w:val="0061140A"/>
    <w:rsid w:val="00632802"/>
    <w:rsid w:val="00634F8E"/>
    <w:rsid w:val="00653BC0"/>
    <w:rsid w:val="00674170"/>
    <w:rsid w:val="006A2471"/>
    <w:rsid w:val="006B076F"/>
    <w:rsid w:val="007065FA"/>
    <w:rsid w:val="00721AB8"/>
    <w:rsid w:val="0073EC21"/>
    <w:rsid w:val="007433B7"/>
    <w:rsid w:val="007751CA"/>
    <w:rsid w:val="0078105A"/>
    <w:rsid w:val="00786FFD"/>
    <w:rsid w:val="007A35D7"/>
    <w:rsid w:val="007A47A4"/>
    <w:rsid w:val="007B0087"/>
    <w:rsid w:val="007F3C01"/>
    <w:rsid w:val="00832F66"/>
    <w:rsid w:val="0083496A"/>
    <w:rsid w:val="008530DF"/>
    <w:rsid w:val="00870715"/>
    <w:rsid w:val="00883C76"/>
    <w:rsid w:val="00884A20"/>
    <w:rsid w:val="00895F82"/>
    <w:rsid w:val="008A2BD0"/>
    <w:rsid w:val="008B163D"/>
    <w:rsid w:val="008C123C"/>
    <w:rsid w:val="008D5FED"/>
    <w:rsid w:val="008D6567"/>
    <w:rsid w:val="008E033E"/>
    <w:rsid w:val="00916C0D"/>
    <w:rsid w:val="00925E23"/>
    <w:rsid w:val="00941C1A"/>
    <w:rsid w:val="00982E81"/>
    <w:rsid w:val="009848ED"/>
    <w:rsid w:val="00990CAB"/>
    <w:rsid w:val="009A3DCC"/>
    <w:rsid w:val="009A4900"/>
    <w:rsid w:val="009C6560"/>
    <w:rsid w:val="009C714C"/>
    <w:rsid w:val="009E39C7"/>
    <w:rsid w:val="009F794F"/>
    <w:rsid w:val="00A16B02"/>
    <w:rsid w:val="00A410E0"/>
    <w:rsid w:val="00A46376"/>
    <w:rsid w:val="00A71E4C"/>
    <w:rsid w:val="00A83E2B"/>
    <w:rsid w:val="00AB6E42"/>
    <w:rsid w:val="00AB7F24"/>
    <w:rsid w:val="00AC795D"/>
    <w:rsid w:val="00B16A63"/>
    <w:rsid w:val="00B55B1C"/>
    <w:rsid w:val="00B622D7"/>
    <w:rsid w:val="00B854BC"/>
    <w:rsid w:val="00B95DBA"/>
    <w:rsid w:val="00BB67FD"/>
    <w:rsid w:val="00BC4A30"/>
    <w:rsid w:val="00BC77EC"/>
    <w:rsid w:val="00BE76AF"/>
    <w:rsid w:val="00BF015E"/>
    <w:rsid w:val="00BF7DAB"/>
    <w:rsid w:val="00C139F3"/>
    <w:rsid w:val="00C147EB"/>
    <w:rsid w:val="00C5425D"/>
    <w:rsid w:val="00C71098"/>
    <w:rsid w:val="00CA4EF3"/>
    <w:rsid w:val="00CA69C1"/>
    <w:rsid w:val="00CC205A"/>
    <w:rsid w:val="00CD6920"/>
    <w:rsid w:val="00D02764"/>
    <w:rsid w:val="00D3770E"/>
    <w:rsid w:val="00D408E9"/>
    <w:rsid w:val="00D445DB"/>
    <w:rsid w:val="00D46604"/>
    <w:rsid w:val="00D70F5B"/>
    <w:rsid w:val="00D86AE1"/>
    <w:rsid w:val="00D91BFF"/>
    <w:rsid w:val="00D91DBF"/>
    <w:rsid w:val="00D97793"/>
    <w:rsid w:val="00DA3B41"/>
    <w:rsid w:val="00DA5365"/>
    <w:rsid w:val="00DB5D47"/>
    <w:rsid w:val="00DC7EE0"/>
    <w:rsid w:val="00DD4FD1"/>
    <w:rsid w:val="00DE1F59"/>
    <w:rsid w:val="00E037D5"/>
    <w:rsid w:val="00E44F47"/>
    <w:rsid w:val="00E8133C"/>
    <w:rsid w:val="00E92F44"/>
    <w:rsid w:val="00EA0861"/>
    <w:rsid w:val="00EA3403"/>
    <w:rsid w:val="00EA7C04"/>
    <w:rsid w:val="00EC342E"/>
    <w:rsid w:val="00EE0A4A"/>
    <w:rsid w:val="00EE5B1E"/>
    <w:rsid w:val="00EE7090"/>
    <w:rsid w:val="00EE7A02"/>
    <w:rsid w:val="00F05DAC"/>
    <w:rsid w:val="00F21070"/>
    <w:rsid w:val="00F23265"/>
    <w:rsid w:val="00F37FF9"/>
    <w:rsid w:val="00F42740"/>
    <w:rsid w:val="00F4485D"/>
    <w:rsid w:val="00F53D25"/>
    <w:rsid w:val="00F75F55"/>
    <w:rsid w:val="00F80074"/>
    <w:rsid w:val="00F867F4"/>
    <w:rsid w:val="00FB2B6E"/>
    <w:rsid w:val="00FB7D7E"/>
    <w:rsid w:val="00FC7AF4"/>
    <w:rsid w:val="00FF3558"/>
    <w:rsid w:val="011602A0"/>
    <w:rsid w:val="01419EFA"/>
    <w:rsid w:val="018B7BE1"/>
    <w:rsid w:val="0354C8F3"/>
    <w:rsid w:val="052CE1CE"/>
    <w:rsid w:val="06032426"/>
    <w:rsid w:val="071B10FA"/>
    <w:rsid w:val="088566AF"/>
    <w:rsid w:val="093ED552"/>
    <w:rsid w:val="0AD2620E"/>
    <w:rsid w:val="0BEC77F3"/>
    <w:rsid w:val="0DCE8E54"/>
    <w:rsid w:val="0DEB8E04"/>
    <w:rsid w:val="0DFE8604"/>
    <w:rsid w:val="0F3C378F"/>
    <w:rsid w:val="113FF92C"/>
    <w:rsid w:val="130074FF"/>
    <w:rsid w:val="1B804984"/>
    <w:rsid w:val="1BE65B99"/>
    <w:rsid w:val="1C4C9EBB"/>
    <w:rsid w:val="1DA7EE90"/>
    <w:rsid w:val="1E01FD4C"/>
    <w:rsid w:val="1E4088D9"/>
    <w:rsid w:val="20BE90BA"/>
    <w:rsid w:val="20FB0910"/>
    <w:rsid w:val="232D621E"/>
    <w:rsid w:val="2334CF2C"/>
    <w:rsid w:val="238F4962"/>
    <w:rsid w:val="2427AD8E"/>
    <w:rsid w:val="25C4DDBF"/>
    <w:rsid w:val="2639782B"/>
    <w:rsid w:val="27C1581B"/>
    <w:rsid w:val="2826126B"/>
    <w:rsid w:val="28F10D62"/>
    <w:rsid w:val="2918E765"/>
    <w:rsid w:val="29622E25"/>
    <w:rsid w:val="2A325B32"/>
    <w:rsid w:val="2AD9A067"/>
    <w:rsid w:val="2C1BD022"/>
    <w:rsid w:val="2C2E0E6A"/>
    <w:rsid w:val="2D50158D"/>
    <w:rsid w:val="2E870ECA"/>
    <w:rsid w:val="2EB2E35D"/>
    <w:rsid w:val="2F6607AF"/>
    <w:rsid w:val="333FB1F9"/>
    <w:rsid w:val="3518F4BC"/>
    <w:rsid w:val="35676661"/>
    <w:rsid w:val="364BB09B"/>
    <w:rsid w:val="36BA6FAD"/>
    <w:rsid w:val="37BE2880"/>
    <w:rsid w:val="3B9FDC8E"/>
    <w:rsid w:val="3DAF3ABB"/>
    <w:rsid w:val="4107AD92"/>
    <w:rsid w:val="41BCF4E7"/>
    <w:rsid w:val="42B50955"/>
    <w:rsid w:val="431EFF7F"/>
    <w:rsid w:val="46BE8626"/>
    <w:rsid w:val="47CD5DE6"/>
    <w:rsid w:val="47FA7EFE"/>
    <w:rsid w:val="48A188A4"/>
    <w:rsid w:val="48E98C8A"/>
    <w:rsid w:val="496A62E3"/>
    <w:rsid w:val="4B4586DC"/>
    <w:rsid w:val="4B5BDD18"/>
    <w:rsid w:val="4B88FE58"/>
    <w:rsid w:val="4BAA76CA"/>
    <w:rsid w:val="4C2AE14B"/>
    <w:rsid w:val="4CA21747"/>
    <w:rsid w:val="4D6D3A97"/>
    <w:rsid w:val="51764EB6"/>
    <w:rsid w:val="528721E2"/>
    <w:rsid w:val="52C45FDE"/>
    <w:rsid w:val="567BD0DF"/>
    <w:rsid w:val="56BC1AB4"/>
    <w:rsid w:val="58295246"/>
    <w:rsid w:val="5B081A24"/>
    <w:rsid w:val="5D039E87"/>
    <w:rsid w:val="5D1EBAEC"/>
    <w:rsid w:val="5FE0BEBE"/>
    <w:rsid w:val="60D215B1"/>
    <w:rsid w:val="610F409E"/>
    <w:rsid w:val="613FC99B"/>
    <w:rsid w:val="620E96B7"/>
    <w:rsid w:val="62596DFD"/>
    <w:rsid w:val="6373F9CA"/>
    <w:rsid w:val="64CC8488"/>
    <w:rsid w:val="65A70081"/>
    <w:rsid w:val="669C74FD"/>
    <w:rsid w:val="68252379"/>
    <w:rsid w:val="6B9DA63D"/>
    <w:rsid w:val="6C5C086F"/>
    <w:rsid w:val="6C85CD20"/>
    <w:rsid w:val="6CAA6FAF"/>
    <w:rsid w:val="6CCD033A"/>
    <w:rsid w:val="6D57BBD1"/>
    <w:rsid w:val="6F7CC334"/>
    <w:rsid w:val="6FC95780"/>
    <w:rsid w:val="6FD86BF6"/>
    <w:rsid w:val="72EE2C93"/>
    <w:rsid w:val="7400DE0D"/>
    <w:rsid w:val="74039EE2"/>
    <w:rsid w:val="776234DE"/>
    <w:rsid w:val="776A2EB2"/>
    <w:rsid w:val="77BCC34C"/>
    <w:rsid w:val="783F52AD"/>
    <w:rsid w:val="7966674F"/>
    <w:rsid w:val="7B578617"/>
    <w:rsid w:val="7D97B6D6"/>
    <w:rsid w:val="7DBBA229"/>
    <w:rsid w:val="7DF20E4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7BA74"/>
  <w15:chartTrackingRefBased/>
  <w15:docId w15:val="{D137CE87-D38F-46E6-9627-D01D9FB7B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496A"/>
    <w:pPr>
      <w:spacing w:line="259" w:lineRule="auto"/>
    </w:pPr>
    <w:rPr>
      <w:sz w:val="22"/>
      <w:szCs w:val="22"/>
      <w:lang w:val="fr-FR"/>
    </w:rPr>
  </w:style>
  <w:style w:type="paragraph" w:styleId="Heading1">
    <w:name w:val="heading 1"/>
    <w:basedOn w:val="Normal"/>
    <w:next w:val="Normal"/>
    <w:link w:val="Heading1Char"/>
    <w:uiPriority w:val="9"/>
    <w:qFormat/>
    <w:rsid w:val="008349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349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49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49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49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49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49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49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49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49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349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49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49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49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49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49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49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496A"/>
    <w:rPr>
      <w:rFonts w:eastAsiaTheme="majorEastAsia" w:cstheme="majorBidi"/>
      <w:color w:val="272727" w:themeColor="text1" w:themeTint="D8"/>
    </w:rPr>
  </w:style>
  <w:style w:type="paragraph" w:styleId="Title">
    <w:name w:val="Title"/>
    <w:basedOn w:val="Normal"/>
    <w:next w:val="Normal"/>
    <w:link w:val="TitleChar"/>
    <w:uiPriority w:val="10"/>
    <w:qFormat/>
    <w:rsid w:val="008349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49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49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49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496A"/>
    <w:pPr>
      <w:spacing w:before="160"/>
      <w:jc w:val="center"/>
    </w:pPr>
    <w:rPr>
      <w:i/>
      <w:iCs/>
      <w:color w:val="404040" w:themeColor="text1" w:themeTint="BF"/>
    </w:rPr>
  </w:style>
  <w:style w:type="character" w:customStyle="1" w:styleId="QuoteChar">
    <w:name w:val="Quote Char"/>
    <w:basedOn w:val="DefaultParagraphFont"/>
    <w:link w:val="Quote"/>
    <w:uiPriority w:val="29"/>
    <w:rsid w:val="0083496A"/>
    <w:rPr>
      <w:i/>
      <w:iCs/>
      <w:color w:val="404040" w:themeColor="text1" w:themeTint="BF"/>
    </w:rPr>
  </w:style>
  <w:style w:type="paragraph" w:styleId="ListParagraph">
    <w:name w:val="List Paragraph"/>
    <w:aliases w:val="Bullets,Celula,Colorful List - Accent 11,Ha,Heading II,Indent Paragraph,List Bullet Mary,List Paragraph (numbered (a)),List Paragraph1,List_Paragraph,Multilevel para_II,Numbered List Paragraph,References,Table of figures,body bullets"/>
    <w:basedOn w:val="Normal"/>
    <w:link w:val="ListParagraphChar"/>
    <w:uiPriority w:val="34"/>
    <w:qFormat/>
    <w:rsid w:val="0083496A"/>
    <w:pPr>
      <w:ind w:left="720"/>
      <w:contextualSpacing/>
    </w:pPr>
  </w:style>
  <w:style w:type="character" w:styleId="IntenseEmphasis">
    <w:name w:val="Intense Emphasis"/>
    <w:basedOn w:val="DefaultParagraphFont"/>
    <w:uiPriority w:val="21"/>
    <w:qFormat/>
    <w:rsid w:val="0083496A"/>
    <w:rPr>
      <w:i/>
      <w:iCs/>
      <w:color w:val="0F4761" w:themeColor="accent1" w:themeShade="BF"/>
    </w:rPr>
  </w:style>
  <w:style w:type="paragraph" w:styleId="IntenseQuote">
    <w:name w:val="Intense Quote"/>
    <w:basedOn w:val="Normal"/>
    <w:next w:val="Normal"/>
    <w:link w:val="IntenseQuoteChar"/>
    <w:uiPriority w:val="30"/>
    <w:qFormat/>
    <w:rsid w:val="008349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496A"/>
    <w:rPr>
      <w:i/>
      <w:iCs/>
      <w:color w:val="0F4761" w:themeColor="accent1" w:themeShade="BF"/>
    </w:rPr>
  </w:style>
  <w:style w:type="character" w:styleId="IntenseReference">
    <w:name w:val="Intense Reference"/>
    <w:basedOn w:val="DefaultParagraphFont"/>
    <w:uiPriority w:val="32"/>
    <w:qFormat/>
    <w:rsid w:val="0083496A"/>
    <w:rPr>
      <w:b/>
      <w:bCs/>
      <w:smallCaps/>
      <w:color w:val="0F4761" w:themeColor="accent1" w:themeShade="BF"/>
      <w:spacing w:val="5"/>
    </w:rPr>
  </w:style>
  <w:style w:type="paragraph" w:styleId="BodyText">
    <w:name w:val="Body Text"/>
    <w:basedOn w:val="Normal"/>
    <w:link w:val="BodyTextChar"/>
    <w:uiPriority w:val="1"/>
    <w:qFormat/>
    <w:rsid w:val="0083496A"/>
    <w:pPr>
      <w:widowControl w:val="0"/>
      <w:autoSpaceDE w:val="0"/>
      <w:autoSpaceDN w:val="0"/>
      <w:spacing w:after="0" w:line="240" w:lineRule="auto"/>
    </w:pPr>
    <w:rPr>
      <w:rFonts w:ascii="Carlito" w:eastAsia="Carlito" w:hAnsi="Carlito" w:cs="Times New Roman"/>
      <w:kern w:val="0"/>
      <w:sz w:val="20"/>
      <w:szCs w:val="20"/>
      <w14:ligatures w14:val="none"/>
    </w:rPr>
  </w:style>
  <w:style w:type="character" w:customStyle="1" w:styleId="BodyTextChar">
    <w:name w:val="Body Text Char"/>
    <w:basedOn w:val="DefaultParagraphFont"/>
    <w:link w:val="BodyText"/>
    <w:uiPriority w:val="1"/>
    <w:rsid w:val="0083496A"/>
    <w:rPr>
      <w:rFonts w:ascii="Carlito" w:eastAsia="Carlito" w:hAnsi="Carlito" w:cs="Times New Roman"/>
      <w:kern w:val="0"/>
      <w:sz w:val="20"/>
      <w:szCs w:val="20"/>
      <w:lang w:val="fr-FR"/>
      <w14:ligatures w14:val="none"/>
    </w:rPr>
  </w:style>
  <w:style w:type="paragraph" w:styleId="TOCHeading">
    <w:name w:val="TOC Heading"/>
    <w:basedOn w:val="Heading1"/>
    <w:next w:val="Normal"/>
    <w:uiPriority w:val="39"/>
    <w:unhideWhenUsed/>
    <w:qFormat/>
    <w:rsid w:val="0083496A"/>
    <w:pPr>
      <w:spacing w:before="480" w:after="0" w:line="276" w:lineRule="auto"/>
      <w:outlineLvl w:val="9"/>
    </w:pPr>
    <w:rPr>
      <w:rFonts w:ascii="Calibri Light" w:eastAsia="Times New Roman" w:hAnsi="Calibri Light" w:cs="Times New Roman"/>
      <w:b/>
      <w:bCs/>
      <w:color w:val="2F5496"/>
      <w:kern w:val="0"/>
      <w:sz w:val="28"/>
      <w:szCs w:val="28"/>
      <w:lang w:eastAsia="fr-FR"/>
      <w14:ligatures w14:val="none"/>
    </w:rPr>
  </w:style>
  <w:style w:type="paragraph" w:styleId="TOC1">
    <w:name w:val="toc 1"/>
    <w:basedOn w:val="Normal"/>
    <w:next w:val="Normal"/>
    <w:autoRedefine/>
    <w:uiPriority w:val="39"/>
    <w:unhideWhenUsed/>
    <w:rsid w:val="0083496A"/>
    <w:pPr>
      <w:spacing w:after="100"/>
    </w:pPr>
  </w:style>
  <w:style w:type="character" w:styleId="Hyperlink">
    <w:name w:val="Hyperlink"/>
    <w:basedOn w:val="DefaultParagraphFont"/>
    <w:uiPriority w:val="99"/>
    <w:unhideWhenUsed/>
    <w:rsid w:val="0083496A"/>
    <w:rPr>
      <w:color w:val="467886" w:themeColor="hyperlink"/>
      <w:u w:val="single"/>
    </w:rPr>
  </w:style>
  <w:style w:type="paragraph" w:styleId="TOC2">
    <w:name w:val="toc 2"/>
    <w:basedOn w:val="Normal"/>
    <w:next w:val="Normal"/>
    <w:autoRedefine/>
    <w:uiPriority w:val="39"/>
    <w:unhideWhenUsed/>
    <w:rsid w:val="0083496A"/>
    <w:pPr>
      <w:spacing w:after="100"/>
      <w:ind w:left="220"/>
    </w:pPr>
  </w:style>
  <w:style w:type="paragraph" w:styleId="NormalWeb">
    <w:name w:val="Normal (Web)"/>
    <w:basedOn w:val="Normal"/>
    <w:uiPriority w:val="99"/>
    <w:semiHidden/>
    <w:unhideWhenUsed/>
    <w:rsid w:val="0083496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8349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496A"/>
    <w:rPr>
      <w:sz w:val="22"/>
      <w:szCs w:val="22"/>
      <w:lang w:val="fr-FR"/>
    </w:rPr>
  </w:style>
  <w:style w:type="paragraph" w:styleId="Revision">
    <w:name w:val="Revision"/>
    <w:hidden/>
    <w:uiPriority w:val="99"/>
    <w:semiHidden/>
    <w:rsid w:val="0083496A"/>
    <w:pPr>
      <w:spacing w:after="0" w:line="240" w:lineRule="auto"/>
    </w:pPr>
    <w:rPr>
      <w:sz w:val="22"/>
      <w:szCs w:val="22"/>
    </w:rPr>
  </w:style>
  <w:style w:type="character" w:customStyle="1" w:styleId="CommentReference1">
    <w:name w:val="Comment Reference1"/>
    <w:basedOn w:val="DefaultParagraphFont"/>
    <w:uiPriority w:val="99"/>
    <w:semiHidden/>
    <w:unhideWhenUsed/>
    <w:rsid w:val="0083496A"/>
    <w:rPr>
      <w:sz w:val="16"/>
      <w:szCs w:val="16"/>
    </w:rPr>
  </w:style>
  <w:style w:type="paragraph" w:customStyle="1" w:styleId="CommentText1">
    <w:name w:val="Comment Text1"/>
    <w:basedOn w:val="Normal"/>
    <w:link w:val="CommentTextChar"/>
    <w:uiPriority w:val="99"/>
    <w:unhideWhenUsed/>
    <w:rsid w:val="0083496A"/>
    <w:pPr>
      <w:spacing w:line="240" w:lineRule="auto"/>
    </w:pPr>
    <w:rPr>
      <w:sz w:val="20"/>
      <w:szCs w:val="20"/>
    </w:rPr>
  </w:style>
  <w:style w:type="character" w:customStyle="1" w:styleId="CommentTextChar">
    <w:name w:val="Comment Text Char"/>
    <w:basedOn w:val="DefaultParagraphFont"/>
    <w:link w:val="CommentText1"/>
    <w:uiPriority w:val="99"/>
    <w:qFormat/>
    <w:rsid w:val="0083496A"/>
    <w:rPr>
      <w:sz w:val="20"/>
      <w:szCs w:val="20"/>
      <w:lang w:val="fr-FR"/>
    </w:rPr>
  </w:style>
  <w:style w:type="paragraph" w:customStyle="1" w:styleId="CommentSubject1">
    <w:name w:val="Comment Subject1"/>
    <w:basedOn w:val="CommentText1"/>
    <w:next w:val="CommentText1"/>
    <w:link w:val="CommentSubjectChar"/>
    <w:uiPriority w:val="99"/>
    <w:semiHidden/>
    <w:unhideWhenUsed/>
    <w:rsid w:val="0083496A"/>
    <w:rPr>
      <w:b/>
      <w:bCs/>
    </w:rPr>
  </w:style>
  <w:style w:type="character" w:customStyle="1" w:styleId="CommentSubjectChar">
    <w:name w:val="Comment Subject Char"/>
    <w:basedOn w:val="CommentTextChar"/>
    <w:link w:val="CommentSubject1"/>
    <w:uiPriority w:val="99"/>
    <w:semiHidden/>
    <w:rsid w:val="0083496A"/>
    <w:rPr>
      <w:b/>
      <w:bCs/>
      <w:sz w:val="20"/>
      <w:szCs w:val="20"/>
      <w:lang w:val="fr-FR"/>
    </w:rPr>
  </w:style>
  <w:style w:type="paragraph" w:customStyle="1" w:styleId="paragraph">
    <w:name w:val="paragraph"/>
    <w:basedOn w:val="Normal"/>
    <w:rsid w:val="0083496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83496A"/>
  </w:style>
  <w:style w:type="character" w:customStyle="1" w:styleId="eop">
    <w:name w:val="eop"/>
    <w:basedOn w:val="DefaultParagraphFont"/>
    <w:rsid w:val="0083496A"/>
  </w:style>
  <w:style w:type="character" w:customStyle="1" w:styleId="scxw97181316">
    <w:name w:val="scxw97181316"/>
    <w:basedOn w:val="DefaultParagraphFont"/>
    <w:rsid w:val="0083496A"/>
  </w:style>
  <w:style w:type="character" w:customStyle="1" w:styleId="superscript">
    <w:name w:val="superscript"/>
    <w:basedOn w:val="DefaultParagraphFont"/>
    <w:rsid w:val="0083496A"/>
  </w:style>
  <w:style w:type="character" w:styleId="Mention">
    <w:name w:val="Mention"/>
    <w:basedOn w:val="DefaultParagraphFont"/>
    <w:uiPriority w:val="99"/>
    <w:unhideWhenUsed/>
    <w:rsid w:val="0083496A"/>
    <w:rPr>
      <w:color w:val="2B579A"/>
      <w:shd w:val="clear" w:color="auto" w:fill="E1DFDD"/>
    </w:rPr>
  </w:style>
  <w:style w:type="paragraph" w:styleId="CommentText">
    <w:name w:val="annotation text"/>
    <w:basedOn w:val="Normal"/>
    <w:link w:val="CommentTextChar1"/>
    <w:uiPriority w:val="99"/>
    <w:unhideWhenUsed/>
    <w:qFormat/>
    <w:rsid w:val="0083496A"/>
    <w:pPr>
      <w:spacing w:line="240" w:lineRule="auto"/>
    </w:pPr>
    <w:rPr>
      <w:sz w:val="20"/>
      <w:szCs w:val="20"/>
    </w:rPr>
  </w:style>
  <w:style w:type="character" w:customStyle="1" w:styleId="CommentTextChar1">
    <w:name w:val="Comment Text Char1"/>
    <w:basedOn w:val="DefaultParagraphFont"/>
    <w:link w:val="CommentText"/>
    <w:uiPriority w:val="99"/>
    <w:rsid w:val="0083496A"/>
    <w:rPr>
      <w:sz w:val="20"/>
      <w:szCs w:val="20"/>
      <w:lang w:val="fr-FR"/>
    </w:rPr>
  </w:style>
  <w:style w:type="character" w:styleId="CommentReference">
    <w:name w:val="annotation reference"/>
    <w:basedOn w:val="DefaultParagraphFont"/>
    <w:semiHidden/>
    <w:unhideWhenUsed/>
    <w:qFormat/>
    <w:rsid w:val="0083496A"/>
    <w:rPr>
      <w:sz w:val="16"/>
      <w:szCs w:val="16"/>
    </w:rPr>
  </w:style>
  <w:style w:type="table" w:styleId="TableGrid">
    <w:name w:val="Table Grid"/>
    <w:basedOn w:val="TableNormal"/>
    <w:uiPriority w:val="59"/>
    <w:qFormat/>
    <w:rsid w:val="0083496A"/>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s Char,Celula Char,Colorful List - Accent 11 Char,Ha Char,Heading II Char,Indent Paragraph Char,List Bullet Mary Char,List Paragraph (numbered (a)) Char,List Paragraph1 Char,List_Paragraph Char,Multilevel para_II Char"/>
    <w:link w:val="ListParagraph"/>
    <w:qFormat/>
    <w:locked/>
    <w:rsid w:val="0083496A"/>
  </w:style>
  <w:style w:type="character" w:customStyle="1" w:styleId="NoSpacingChar">
    <w:name w:val="No Spacing Char"/>
    <w:link w:val="NoSpacing"/>
    <w:uiPriority w:val="1"/>
    <w:locked/>
    <w:rsid w:val="0083496A"/>
    <w:rPr>
      <w:rFonts w:eastAsia="Times New Roman"/>
      <w:i/>
      <w:iCs/>
      <w:lang w:val="en-GB"/>
    </w:rPr>
  </w:style>
  <w:style w:type="paragraph" w:styleId="NoSpacing">
    <w:name w:val="No Spacing"/>
    <w:basedOn w:val="Normal"/>
    <w:link w:val="NoSpacingChar"/>
    <w:uiPriority w:val="1"/>
    <w:qFormat/>
    <w:rsid w:val="0083496A"/>
    <w:pPr>
      <w:spacing w:after="0" w:line="240" w:lineRule="auto"/>
    </w:pPr>
    <w:rPr>
      <w:rFonts w:eastAsia="Times New Roman"/>
      <w:i/>
      <w:iCs/>
      <w:sz w:val="24"/>
      <w:szCs w:val="24"/>
      <w:lang w:val="en-GB"/>
    </w:rPr>
  </w:style>
  <w:style w:type="paragraph" w:styleId="Header">
    <w:name w:val="header"/>
    <w:basedOn w:val="Normal"/>
    <w:link w:val="HeaderChar"/>
    <w:uiPriority w:val="99"/>
    <w:unhideWhenUsed/>
    <w:rsid w:val="008349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496A"/>
    <w:rPr>
      <w:sz w:val="22"/>
      <w:szCs w:val="22"/>
      <w:lang w:val="fr-FR"/>
    </w:rPr>
  </w:style>
  <w:style w:type="character" w:styleId="BookTitle">
    <w:name w:val="Book Title"/>
    <w:basedOn w:val="DefaultParagraphFont"/>
    <w:uiPriority w:val="33"/>
    <w:qFormat/>
    <w:rsid w:val="0083496A"/>
    <w:rPr>
      <w:b/>
      <w:bCs/>
      <w:i/>
      <w:iCs/>
      <w:spacing w:val="5"/>
    </w:rPr>
  </w:style>
  <w:style w:type="paragraph" w:styleId="Caption">
    <w:name w:val="caption"/>
    <w:basedOn w:val="Normal"/>
    <w:next w:val="Normal"/>
    <w:uiPriority w:val="35"/>
    <w:semiHidden/>
    <w:unhideWhenUsed/>
    <w:qFormat/>
    <w:rsid w:val="0083496A"/>
    <w:pPr>
      <w:spacing w:after="200" w:line="240" w:lineRule="auto"/>
    </w:pPr>
    <w:rPr>
      <w:i/>
      <w:iCs/>
      <w:color w:val="0E2841" w:themeColor="text2"/>
      <w:sz w:val="18"/>
      <w:szCs w:val="18"/>
    </w:rPr>
  </w:style>
  <w:style w:type="character" w:styleId="Emphasis">
    <w:name w:val="Emphasis"/>
    <w:basedOn w:val="DefaultParagraphFont"/>
    <w:uiPriority w:val="20"/>
    <w:qFormat/>
    <w:rsid w:val="0083496A"/>
    <w:rPr>
      <w:i/>
      <w:iCs/>
    </w:rPr>
  </w:style>
  <w:style w:type="character" w:styleId="Strong">
    <w:name w:val="Strong"/>
    <w:basedOn w:val="DefaultParagraphFont"/>
    <w:uiPriority w:val="22"/>
    <w:qFormat/>
    <w:rsid w:val="0083496A"/>
    <w:rPr>
      <w:b/>
      <w:bCs/>
    </w:rPr>
  </w:style>
  <w:style w:type="character" w:styleId="SubtleEmphasis">
    <w:name w:val="Subtle Emphasis"/>
    <w:basedOn w:val="DefaultParagraphFont"/>
    <w:uiPriority w:val="19"/>
    <w:qFormat/>
    <w:rsid w:val="0083496A"/>
    <w:rPr>
      <w:i/>
      <w:iCs/>
      <w:color w:val="404040" w:themeColor="text1" w:themeTint="BF"/>
    </w:rPr>
  </w:style>
  <w:style w:type="character" w:styleId="SubtleReference">
    <w:name w:val="Subtle Reference"/>
    <w:basedOn w:val="DefaultParagraphFont"/>
    <w:uiPriority w:val="31"/>
    <w:qFormat/>
    <w:rsid w:val="0083496A"/>
    <w:rPr>
      <w:smallCaps/>
      <w:color w:val="5A5A5A" w:themeColor="text1" w:themeTint="A5"/>
    </w:rPr>
  </w:style>
  <w:style w:type="paragraph" w:styleId="CommentSubject">
    <w:name w:val="annotation subject"/>
    <w:basedOn w:val="CommentText"/>
    <w:next w:val="CommentText"/>
    <w:link w:val="CommentSubjectChar1"/>
    <w:uiPriority w:val="99"/>
    <w:semiHidden/>
    <w:unhideWhenUsed/>
    <w:rsid w:val="0083496A"/>
    <w:rPr>
      <w:b/>
      <w:bCs/>
    </w:rPr>
  </w:style>
  <w:style w:type="character" w:customStyle="1" w:styleId="CommentSubjectChar1">
    <w:name w:val="Comment Subject Char1"/>
    <w:basedOn w:val="CommentTextChar1"/>
    <w:link w:val="CommentSubject"/>
    <w:uiPriority w:val="99"/>
    <w:semiHidden/>
    <w:rsid w:val="0083496A"/>
    <w:rPr>
      <w:b/>
      <w:bCs/>
      <w:sz w:val="20"/>
      <w:szCs w:val="20"/>
      <w:lang w:val="fr-FR"/>
    </w:rPr>
  </w:style>
  <w:style w:type="character" w:styleId="EndnoteReference">
    <w:name w:val="endnote reference"/>
    <w:basedOn w:val="DefaultParagraphFont"/>
    <w:uiPriority w:val="99"/>
    <w:semiHidden/>
    <w:unhideWhenUsed/>
    <w:qFormat/>
    <w:rsid w:val="0083496A"/>
    <w:rPr>
      <w:vertAlign w:val="superscript"/>
    </w:rPr>
  </w:style>
  <w:style w:type="paragraph" w:styleId="TOC3">
    <w:name w:val="toc 3"/>
    <w:basedOn w:val="Normal"/>
    <w:next w:val="Normal"/>
    <w:autoRedefine/>
    <w:uiPriority w:val="39"/>
    <w:unhideWhenUsed/>
    <w:rsid w:val="0083496A"/>
    <w:pPr>
      <w:spacing w:after="100"/>
      <w:ind w:left="440"/>
    </w:pPr>
  </w:style>
  <w:style w:type="table" w:styleId="GridTable4-Accent1">
    <w:name w:val="Grid Table 4 Accent 1"/>
    <w:basedOn w:val="TableNormal"/>
    <w:uiPriority w:val="49"/>
    <w:rsid w:val="00FB7D7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328477-3CAC-4605-8D99-DC79A968D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25</Pages>
  <Words>8266</Words>
  <Characters>48522</Characters>
  <Application>Microsoft Office Word</Application>
  <DocSecurity>0</DocSecurity>
  <Lines>1470</Lines>
  <Paragraphs>604</Paragraphs>
  <ScaleCrop>false</ScaleCrop>
  <Company/>
  <LinksUpToDate>false</LinksUpToDate>
  <CharactersWithSpaces>56184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 RAKI OGO</dc:creator>
  <cp:keywords/>
  <dc:description/>
  <cp:lastModifiedBy>Cheikh Hamallah Diagana</cp:lastModifiedBy>
  <cp:revision>10</cp:revision>
  <dcterms:created xsi:type="dcterms:W3CDTF">2026-10-13T18:27:00Z</dcterms:created>
  <dcterms:modified xsi:type="dcterms:W3CDTF">2026-10-15T14:03:00Z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2af29c04,9475562,73a00c57</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2026-10-07T15:24:02Z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47e9519f-0028-41f2-b6c0-748ae18e7ade</vt:lpwstr>
  </property>
  <property fmtid="{D5CDD505-2E9C-101B-9397-08002B2CF9AE}" pid="11" name="MSIP_Label_f1bf45b6-5649-4236-82a3-f45024cd282e_ContentBits">
    <vt:lpwstr>2</vt:lpwstr>
  </property>
  <property fmtid="{D5CDD505-2E9C-101B-9397-08002B2CF9AE}" pid="12" name="MSIP_Label_f1bf45b6-5649-4236-82a3-f45024cd282e_Tag">
    <vt:lpwstr>10, 3, 0, 2</vt:lpwstr>
  </property>
</Properties>
</file>