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CD" w:rsidRPr="00AB069F" w:rsidRDefault="005278CD" w:rsidP="0052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69F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53670" cy="245745"/>
            <wp:effectExtent l="0" t="0" r="0" b="0"/>
            <wp:docPr id="1" name="Image 1" descr="C:\Users\Administrateu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CD" w:rsidRPr="00AB069F" w:rsidRDefault="005278CD" w:rsidP="00527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SOMELEC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CELLULE CHARGEE DES MARCHES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C.C.M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COMMISSION DES MARCHES D’INVESTISSEMENT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C.M.I</w:t>
      </w:r>
    </w:p>
    <w:p w:rsidR="005278CD" w:rsidRPr="00AB069F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5278CD" w:rsidRPr="00AB069F" w:rsidRDefault="000C0FBC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B069F">
        <w:rPr>
          <w:rFonts w:ascii="Book Antiqua" w:hAnsi="Book Antiqua" w:cs="Times New Roman"/>
          <w:b/>
          <w:sz w:val="24"/>
          <w:szCs w:val="24"/>
        </w:rPr>
        <w:t xml:space="preserve">Précoces-verbal N° 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1</w:t>
      </w:r>
      <w:r w:rsidR="00847A17" w:rsidRPr="00AB069F">
        <w:rPr>
          <w:rFonts w:ascii="Book Antiqua" w:hAnsi="Book Antiqua" w:cs="Times New Roman"/>
          <w:b/>
          <w:sz w:val="24"/>
          <w:szCs w:val="24"/>
        </w:rPr>
        <w:t>5</w:t>
      </w:r>
      <w:r w:rsidRPr="00AB069F">
        <w:rPr>
          <w:rFonts w:ascii="Book Antiqua" w:hAnsi="Book Antiqua" w:cs="Times New Roman"/>
          <w:b/>
          <w:sz w:val="24"/>
          <w:szCs w:val="24"/>
        </w:rPr>
        <w:t>/CMI/202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4</w:t>
      </w:r>
      <w:r w:rsidRPr="00AB069F">
        <w:rPr>
          <w:rFonts w:ascii="Book Antiqua" w:hAnsi="Book Antiqua" w:cs="Times New Roman"/>
          <w:b/>
          <w:sz w:val="24"/>
          <w:szCs w:val="24"/>
        </w:rPr>
        <w:t xml:space="preserve"> du 2</w:t>
      </w:r>
      <w:r w:rsidR="00847A17" w:rsidRPr="00AB069F">
        <w:rPr>
          <w:rFonts w:ascii="Book Antiqua" w:hAnsi="Book Antiqua" w:cs="Times New Roman"/>
          <w:b/>
          <w:sz w:val="24"/>
          <w:szCs w:val="24"/>
        </w:rPr>
        <w:t>5</w:t>
      </w:r>
      <w:r w:rsidR="005278CD" w:rsidRPr="00AB069F">
        <w:rPr>
          <w:rFonts w:ascii="Book Antiqua" w:hAnsi="Book Antiqua" w:cs="Times New Roman"/>
          <w:b/>
          <w:sz w:val="24"/>
          <w:szCs w:val="24"/>
        </w:rPr>
        <w:t>/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0</w:t>
      </w:r>
      <w:r w:rsidR="00847A17" w:rsidRPr="00AB069F">
        <w:rPr>
          <w:rFonts w:ascii="Book Antiqua" w:hAnsi="Book Antiqua" w:cs="Times New Roman"/>
          <w:b/>
          <w:sz w:val="24"/>
          <w:szCs w:val="24"/>
        </w:rPr>
        <w:t>4</w:t>
      </w:r>
      <w:r w:rsidR="005278CD" w:rsidRPr="00AB069F">
        <w:rPr>
          <w:rFonts w:ascii="Book Antiqua" w:hAnsi="Book Antiqua" w:cs="Times New Roman"/>
          <w:b/>
          <w:sz w:val="24"/>
          <w:szCs w:val="24"/>
        </w:rPr>
        <w:t>/202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4</w:t>
      </w:r>
    </w:p>
    <w:p w:rsidR="005278CD" w:rsidRPr="00AB069F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B069F">
        <w:rPr>
          <w:rFonts w:ascii="Book Antiqua" w:hAnsi="Book Antiqua" w:cs="Times New Roman"/>
          <w:b/>
          <w:sz w:val="24"/>
          <w:szCs w:val="24"/>
        </w:rPr>
        <w:t>………………….</w:t>
      </w:r>
    </w:p>
    <w:p w:rsidR="005278CD" w:rsidRPr="00AB069F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278CD" w:rsidRPr="00AB069F" w:rsidRDefault="005278CD" w:rsidP="005278C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AB069F">
        <w:rPr>
          <w:rFonts w:ascii="Book Antiqua" w:hAnsi="Book Antiqua" w:cs="Times New Roman"/>
          <w:sz w:val="24"/>
          <w:szCs w:val="24"/>
        </w:rPr>
        <w:t>L’a</w:t>
      </w:r>
      <w:r w:rsidR="000C0FBC" w:rsidRPr="00AB069F">
        <w:rPr>
          <w:rFonts w:ascii="Book Antiqua" w:hAnsi="Book Antiqua" w:cs="Times New Roman"/>
          <w:sz w:val="24"/>
          <w:szCs w:val="24"/>
        </w:rPr>
        <w:t xml:space="preserve">n deux mille </w:t>
      </w:r>
      <w:r w:rsidR="00331E60" w:rsidRPr="00AB069F">
        <w:rPr>
          <w:rFonts w:ascii="Book Antiqua" w:hAnsi="Book Antiqua" w:cs="Times New Roman"/>
          <w:sz w:val="24"/>
          <w:szCs w:val="24"/>
        </w:rPr>
        <w:t>vingt-quatre</w:t>
      </w:r>
      <w:r w:rsidR="000C0FBC" w:rsidRPr="00AB069F">
        <w:rPr>
          <w:rFonts w:ascii="Book Antiqua" w:hAnsi="Book Antiqua" w:cs="Times New Roman"/>
          <w:sz w:val="24"/>
          <w:szCs w:val="24"/>
        </w:rPr>
        <w:t xml:space="preserve"> et le</w:t>
      </w:r>
      <w:r w:rsidR="003E6779">
        <w:rPr>
          <w:rFonts w:ascii="Book Antiqua" w:hAnsi="Book Antiqua" w:cs="Times New Roman"/>
          <w:sz w:val="24"/>
          <w:szCs w:val="24"/>
        </w:rPr>
        <w:t xml:space="preserve"> jeudi</w:t>
      </w:r>
      <w:r w:rsidR="000C0FBC" w:rsidRPr="00AB069F">
        <w:rPr>
          <w:rFonts w:ascii="Book Antiqua" w:hAnsi="Book Antiqua" w:cs="Times New Roman"/>
          <w:sz w:val="24"/>
          <w:szCs w:val="24"/>
        </w:rPr>
        <w:t xml:space="preserve"> </w:t>
      </w:r>
      <w:r w:rsidR="00847A17" w:rsidRPr="00AB069F">
        <w:rPr>
          <w:rFonts w:ascii="Book Antiqua" w:hAnsi="Book Antiqua" w:cs="Times New Roman"/>
          <w:sz w:val="24"/>
          <w:szCs w:val="24"/>
        </w:rPr>
        <w:t>25</w:t>
      </w:r>
      <w:r w:rsidRPr="00AB069F">
        <w:rPr>
          <w:rFonts w:ascii="Book Antiqua" w:hAnsi="Book Antiqua" w:cs="Times New Roman"/>
          <w:sz w:val="24"/>
          <w:szCs w:val="24"/>
        </w:rPr>
        <w:t xml:space="preserve"> </w:t>
      </w:r>
      <w:r w:rsidR="00006A46" w:rsidRPr="00AB069F">
        <w:rPr>
          <w:rFonts w:ascii="Book Antiqua" w:hAnsi="Book Antiqua" w:cs="Times New Roman"/>
          <w:sz w:val="24"/>
          <w:szCs w:val="24"/>
        </w:rPr>
        <w:t>Avril</w:t>
      </w:r>
      <w:r w:rsidRPr="00AB069F">
        <w:rPr>
          <w:rFonts w:ascii="Book Antiqua" w:hAnsi="Book Antiqua" w:cs="Times New Roman"/>
          <w:sz w:val="24"/>
          <w:szCs w:val="24"/>
        </w:rPr>
        <w:t xml:space="preserve"> à </w:t>
      </w:r>
      <w:r w:rsidRPr="00AB069F">
        <w:rPr>
          <w:rFonts w:ascii="Book Antiqua" w:hAnsi="Book Antiqua" w:cs="Times New Roman"/>
          <w:b/>
          <w:sz w:val="24"/>
          <w:szCs w:val="24"/>
        </w:rPr>
        <w:t>12 heures TU</w:t>
      </w:r>
      <w:r w:rsidRPr="00AB069F">
        <w:rPr>
          <w:rFonts w:ascii="Book Antiqua" w:hAnsi="Book Antiqua" w:cs="Times New Roman"/>
          <w:sz w:val="24"/>
          <w:szCs w:val="24"/>
        </w:rPr>
        <w:t>, la Commission des Marchés d’Investissement de la SOMELEC s’est réunie sous la présidence de son Président</w:t>
      </w:r>
      <w:r w:rsidRPr="00AB069F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AB069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Monsieur </w:t>
      </w:r>
      <w:r w:rsidR="0015439A" w:rsidRPr="00AB069F">
        <w:rPr>
          <w:rFonts w:ascii="Book Antiqua" w:hAnsi="Book Antiqua" w:cs="Times New Roman"/>
          <w:b/>
          <w:bCs/>
          <w:sz w:val="24"/>
          <w:szCs w:val="24"/>
        </w:rPr>
        <w:t>TALL Ousmane</w:t>
      </w:r>
      <w:r w:rsidRPr="00AB069F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AB069F">
        <w:rPr>
          <w:rFonts w:ascii="Book Antiqua" w:hAnsi="Book Antiqua" w:cs="Times New Roman"/>
          <w:sz w:val="24"/>
          <w:szCs w:val="24"/>
        </w:rPr>
        <w:t xml:space="preserve"> </w:t>
      </w:r>
      <w:r w:rsidRPr="00AB069F">
        <w:rPr>
          <w:rFonts w:ascii="Book Antiqua" w:hAnsi="Book Antiqua" w:cs="Times New Roman"/>
          <w:b/>
          <w:bCs/>
          <w:sz w:val="24"/>
          <w:szCs w:val="24"/>
        </w:rPr>
        <w:t>Directeur Général</w:t>
      </w:r>
      <w:r w:rsidRPr="00AB069F">
        <w:rPr>
          <w:rFonts w:ascii="Book Antiqua" w:hAnsi="Book Antiqua" w:cs="Times New Roman"/>
          <w:sz w:val="24"/>
          <w:szCs w:val="24"/>
        </w:rPr>
        <w:t>, afin de délibérer sur l’ordre du jour suivant :</w:t>
      </w:r>
    </w:p>
    <w:p w:rsidR="005278CD" w:rsidRPr="00AB069F" w:rsidRDefault="005278CD" w:rsidP="005278C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  <w:u w:val="single"/>
        </w:rPr>
        <w:t>Ordre du jour</w:t>
      </w:r>
    </w:p>
    <w:p w:rsidR="00F53186" w:rsidRPr="00AB069F" w:rsidRDefault="00F5318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W w:w="106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9830"/>
      </w:tblGrid>
      <w:tr w:rsidR="00847A17" w:rsidRPr="00AB069F" w:rsidTr="00163513">
        <w:trPr>
          <w:trHeight w:val="846"/>
          <w:jc w:val="center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A17" w:rsidRPr="00AB069F" w:rsidRDefault="00847A17" w:rsidP="0016351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17" w:rsidRPr="00AB069F" w:rsidRDefault="00847A17" w:rsidP="00C1589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Ouverture des offres relatives au DAO portant les travaux de réhabilitation du génie civil des centrales électriques des villes de Atar, et de </w:t>
            </w:r>
            <w:proofErr w:type="spellStart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Boulenoir</w:t>
            </w:r>
            <w:proofErr w:type="spellEnd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(Composante développement et renforcement des infrastructures électriques 50 </w:t>
            </w:r>
            <w:proofErr w:type="spellStart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Moughataa</w:t>
            </w:r>
            <w:proofErr w:type="spellEnd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  <w:p w:rsidR="00847A17" w:rsidRPr="00AB069F" w:rsidRDefault="00847A17" w:rsidP="00C1589D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(DAO N°04/CMI/2024)</w:t>
            </w:r>
          </w:p>
        </w:tc>
      </w:tr>
    </w:tbl>
    <w:p w:rsidR="00006A46" w:rsidRPr="00AB069F" w:rsidRDefault="00006A4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006A46" w:rsidRPr="00AB069F" w:rsidRDefault="00006A4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0C0FBC" w:rsidRPr="00AB069F" w:rsidRDefault="000C0FBC" w:rsidP="000C0FB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0FBC" w:rsidRPr="00AB069F" w:rsidRDefault="000C0FBC" w:rsidP="000C0FBC">
      <w:pPr>
        <w:rPr>
          <w:rFonts w:ascii="Book Antiqua" w:hAnsi="Book Antiqua" w:cs="Times New Roman"/>
          <w:sz w:val="24"/>
          <w:szCs w:val="24"/>
        </w:rPr>
      </w:pPr>
      <w:r w:rsidRPr="00AB069F">
        <w:rPr>
          <w:rFonts w:ascii="Book Antiqua" w:hAnsi="Book Antiqua" w:cs="Times New Roman"/>
          <w:sz w:val="24"/>
          <w:szCs w:val="24"/>
        </w:rPr>
        <w:t xml:space="preserve">                              ------------------------------- o -------------------------------</w:t>
      </w:r>
    </w:p>
    <w:p w:rsidR="000C0FBC" w:rsidRPr="00AB069F" w:rsidRDefault="000C0FBC" w:rsidP="000C0FBC">
      <w:pPr>
        <w:shd w:val="clear" w:color="auto" w:fill="D9D9D9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AB069F">
        <w:rPr>
          <w:rFonts w:ascii="Book Antiqua" w:hAnsi="Book Antiqua" w:cs="Times New Roman"/>
          <w:b/>
          <w:sz w:val="24"/>
          <w:szCs w:val="24"/>
          <w:u w:val="single"/>
        </w:rPr>
        <w:t>Décisions</w:t>
      </w:r>
    </w:p>
    <w:tbl>
      <w:tblPr>
        <w:tblpPr w:leftFromText="180" w:rightFromText="180" w:vertAnchor="text" w:horzAnchor="margin" w:tblpY="184"/>
        <w:tblW w:w="9810" w:type="dxa"/>
        <w:tblLook w:val="04A0" w:firstRow="1" w:lastRow="0" w:firstColumn="1" w:lastColumn="0" w:noHBand="0" w:noVBand="1"/>
      </w:tblPr>
      <w:tblGrid>
        <w:gridCol w:w="553"/>
        <w:gridCol w:w="9257"/>
      </w:tblGrid>
      <w:tr w:rsidR="000C0FBC" w:rsidRPr="00AB069F" w:rsidTr="00A77FD1">
        <w:trPr>
          <w:trHeight w:val="264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FBC" w:rsidRPr="00AB069F" w:rsidRDefault="000C0FBC" w:rsidP="000C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9D" w:rsidRPr="00AB069F" w:rsidRDefault="00C1589D" w:rsidP="00C1589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Ouverture des offres relatives au DAO portant les travaux de réhabilitation du génie civil des centrales électriques des villes de Atar, et de </w:t>
            </w:r>
            <w:proofErr w:type="spellStart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Boulenoir</w:t>
            </w:r>
            <w:proofErr w:type="spellEnd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(Composante développement et renforcement des infrastructures électriques 50 </w:t>
            </w:r>
            <w:proofErr w:type="spellStart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Moughataa</w:t>
            </w:r>
            <w:proofErr w:type="spellEnd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  <w:p w:rsidR="000C0FBC" w:rsidRPr="00AB069F" w:rsidRDefault="00C1589D" w:rsidP="00C158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069F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(DAO N°04/CMI/2024)</w:t>
            </w:r>
          </w:p>
        </w:tc>
      </w:tr>
    </w:tbl>
    <w:p w:rsidR="000C0FBC" w:rsidRPr="00AB069F" w:rsidRDefault="000C0FBC" w:rsidP="000C0FBC">
      <w:pPr>
        <w:jc w:val="both"/>
        <w:rPr>
          <w:rFonts w:ascii="Book Antiqua" w:hAnsi="Book Antiqua" w:cs="Times New Roman"/>
          <w:sz w:val="24"/>
          <w:szCs w:val="24"/>
        </w:rPr>
      </w:pPr>
    </w:p>
    <w:p w:rsidR="00B54C5D" w:rsidRDefault="00B54C5D" w:rsidP="00B54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69F">
        <w:rPr>
          <w:rFonts w:ascii="Times New Roman" w:hAnsi="Times New Roman" w:cs="Times New Roman"/>
          <w:sz w:val="24"/>
          <w:szCs w:val="24"/>
        </w:rPr>
        <w:t>La Commission a reçu et ouvert en séance publique</w:t>
      </w:r>
      <w:r w:rsidR="003E6779" w:rsidRPr="003E6779">
        <w:rPr>
          <w:rFonts w:ascii="Times New Roman" w:hAnsi="Times New Roman" w:cs="Times New Roman"/>
          <w:sz w:val="24"/>
          <w:szCs w:val="24"/>
        </w:rPr>
        <w:t xml:space="preserve"> </w:t>
      </w:r>
      <w:r w:rsidR="003E6779" w:rsidRPr="00AB069F">
        <w:rPr>
          <w:rFonts w:ascii="Times New Roman" w:hAnsi="Times New Roman" w:cs="Times New Roman"/>
          <w:sz w:val="24"/>
          <w:szCs w:val="24"/>
        </w:rPr>
        <w:t>Deux (02) offres</w:t>
      </w:r>
      <w:r w:rsidRPr="00AB069F">
        <w:rPr>
          <w:rFonts w:ascii="Times New Roman" w:hAnsi="Times New Roman" w:cs="Times New Roman"/>
          <w:sz w:val="24"/>
          <w:szCs w:val="24"/>
        </w:rPr>
        <w:t xml:space="preserve">, en présence des représentants des soumissionnaires. Le dépouillement de ces </w:t>
      </w:r>
      <w:r w:rsidR="00474C04" w:rsidRPr="00AB069F">
        <w:rPr>
          <w:rFonts w:ascii="Times New Roman" w:hAnsi="Times New Roman" w:cs="Times New Roman"/>
          <w:sz w:val="24"/>
          <w:szCs w:val="24"/>
        </w:rPr>
        <w:t xml:space="preserve">offres </w:t>
      </w:r>
      <w:r w:rsidRPr="00AB069F">
        <w:rPr>
          <w:rFonts w:ascii="Times New Roman" w:hAnsi="Times New Roman" w:cs="Times New Roman"/>
          <w:sz w:val="24"/>
          <w:szCs w:val="24"/>
        </w:rPr>
        <w:t>a donné le résultat suivant :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78"/>
        <w:gridCol w:w="1495"/>
        <w:gridCol w:w="1292"/>
        <w:gridCol w:w="1504"/>
        <w:gridCol w:w="1219"/>
        <w:gridCol w:w="1718"/>
      </w:tblGrid>
      <w:tr w:rsidR="00DD3824" w:rsidRPr="00DD3824" w:rsidTr="00DD3824">
        <w:trPr>
          <w:trHeight w:val="1470"/>
        </w:trPr>
        <w:tc>
          <w:tcPr>
            <w:tcW w:w="561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Soumissionnaire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D3824" w:rsidRPr="00DD3824" w:rsidRDefault="00DD3824" w:rsidP="00A811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Lettre de Soumission</w:t>
            </w:r>
          </w:p>
        </w:tc>
        <w:tc>
          <w:tcPr>
            <w:tcW w:w="1292" w:type="dxa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Délai d’exécution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Caution de soumission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Nombre de copies 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Montant de l'offre en MRU</w:t>
            </w:r>
          </w:p>
        </w:tc>
      </w:tr>
      <w:tr w:rsidR="00DD3824" w:rsidRPr="00DD3824" w:rsidTr="003E6779">
        <w:trPr>
          <w:trHeight w:val="988"/>
        </w:trPr>
        <w:tc>
          <w:tcPr>
            <w:tcW w:w="561" w:type="dxa"/>
            <w:shd w:val="clear" w:color="auto" w:fill="auto"/>
            <w:vAlign w:val="center"/>
          </w:tcPr>
          <w:p w:rsidR="00DD3824" w:rsidRPr="00DD3824" w:rsidRDefault="00DD3824" w:rsidP="00DD382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824" w:rsidRPr="00DD3824" w:rsidRDefault="00DD3824" w:rsidP="00DD382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  <w:t>SEB-TP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D3824" w:rsidRPr="00DD3824" w:rsidRDefault="00DD3824" w:rsidP="00DD3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OUI</w:t>
            </w:r>
          </w:p>
        </w:tc>
        <w:tc>
          <w:tcPr>
            <w:tcW w:w="1292" w:type="dxa"/>
            <w:vAlign w:val="center"/>
          </w:tcPr>
          <w:p w:rsidR="00DD3824" w:rsidRPr="00DD3824" w:rsidRDefault="003E6779" w:rsidP="003E67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mois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D3824" w:rsidRPr="00DD3824" w:rsidRDefault="00DD3824" w:rsidP="00DD3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OUI</w:t>
            </w:r>
            <w:r w:rsidR="00B62E12">
              <w:rPr>
                <w:rFonts w:ascii="Times New Roman" w:hAnsi="Times New Roman" w:cs="Times New Roman"/>
                <w:sz w:val="21"/>
                <w:szCs w:val="21"/>
              </w:rPr>
              <w:t>(B</w:t>
            </w:r>
            <w:r w:rsidR="00B62E12">
              <w:rPr>
                <w:rFonts w:ascii="Times New Roman" w:hAnsi="Times New Roman" w:cs="Times New Roman"/>
                <w:sz w:val="21"/>
                <w:szCs w:val="21"/>
              </w:rPr>
              <w:t>AMIS</w:t>
            </w:r>
            <w:r w:rsidR="00B62E1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D3824" w:rsidRPr="00DD3824" w:rsidRDefault="00DD3824" w:rsidP="00DD3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bookmarkStart w:id="0" w:name="_GoBack"/>
            <w:bookmarkEnd w:id="0"/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rg+3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D3824" w:rsidRPr="00DD3824" w:rsidRDefault="00474C04" w:rsidP="00474C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20 505 058 </w:t>
            </w:r>
            <w:r w:rsidR="003E6779">
              <w:rPr>
                <w:rFonts w:ascii="Times New Roman" w:hAnsi="Times New Roman" w:cs="Times New Roman"/>
                <w:sz w:val="21"/>
                <w:szCs w:val="21"/>
              </w:rPr>
              <w:t xml:space="preserve">TTC </w:t>
            </w:r>
          </w:p>
        </w:tc>
      </w:tr>
      <w:tr w:rsidR="00DD3824" w:rsidRPr="00DD3824" w:rsidTr="003E6779">
        <w:trPr>
          <w:trHeight w:val="697"/>
        </w:trPr>
        <w:tc>
          <w:tcPr>
            <w:tcW w:w="561" w:type="dxa"/>
            <w:shd w:val="clear" w:color="auto" w:fill="auto"/>
            <w:vAlign w:val="center"/>
          </w:tcPr>
          <w:p w:rsidR="00DD3824" w:rsidRPr="00DD3824" w:rsidRDefault="00DD3824" w:rsidP="00DD382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24" w:rsidRPr="00DD3824" w:rsidRDefault="00DD3824" w:rsidP="00DD3824">
            <w:pPr>
              <w:spacing w:after="0" w:line="240" w:lineRule="auto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 xml:space="preserve">Ets </w:t>
            </w:r>
            <w:proofErr w:type="spellStart"/>
            <w:r w:rsidRPr="00DD3824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Bousseif</w:t>
            </w:r>
            <w:proofErr w:type="spellEnd"/>
            <w:r w:rsidRPr="00DD3824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 xml:space="preserve"> et frère </w:t>
            </w:r>
            <w:r w:rsidR="003E6779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(BF BTP)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D3824" w:rsidRPr="00DD3824" w:rsidRDefault="00DD3824" w:rsidP="00DD3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OUI</w:t>
            </w:r>
          </w:p>
        </w:tc>
        <w:tc>
          <w:tcPr>
            <w:tcW w:w="1292" w:type="dxa"/>
            <w:vAlign w:val="center"/>
          </w:tcPr>
          <w:p w:rsidR="00DD3824" w:rsidRPr="00DD3824" w:rsidRDefault="003E6779" w:rsidP="003E67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mois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D3824" w:rsidRPr="00DD3824" w:rsidRDefault="00DD3824" w:rsidP="00DD3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OUI</w:t>
            </w:r>
            <w:r w:rsidR="003E6779">
              <w:rPr>
                <w:rFonts w:ascii="Times New Roman" w:hAnsi="Times New Roman" w:cs="Times New Roman"/>
                <w:sz w:val="21"/>
                <w:szCs w:val="21"/>
              </w:rPr>
              <w:t xml:space="preserve"> (BMI)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D3824" w:rsidRPr="00DD3824" w:rsidRDefault="00DD3824" w:rsidP="00DD3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Org+</w:t>
            </w:r>
            <w:r w:rsidR="003E67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D3824" w:rsidRPr="00DD3824" w:rsidRDefault="003E6779" w:rsidP="00DD38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9 760 000 TTC </w:t>
            </w:r>
          </w:p>
        </w:tc>
      </w:tr>
    </w:tbl>
    <w:p w:rsidR="00B54C5D" w:rsidRPr="00AB069F" w:rsidRDefault="00B54C5D" w:rsidP="000C0FBC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</w:p>
    <w:sectPr w:rsidR="00B54C5D" w:rsidRPr="00AB069F" w:rsidSect="003606B7">
      <w:footerReference w:type="default" r:id="rId9"/>
      <w:pgSz w:w="11906" w:h="16838"/>
      <w:pgMar w:top="993" w:right="991" w:bottom="1417" w:left="1276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38" w:rsidRDefault="004F1F38" w:rsidP="005278CD">
      <w:pPr>
        <w:spacing w:after="0" w:line="240" w:lineRule="auto"/>
      </w:pPr>
      <w:r>
        <w:separator/>
      </w:r>
    </w:p>
  </w:endnote>
  <w:endnote w:type="continuationSeparator" w:id="0">
    <w:p w:rsidR="004F1F38" w:rsidRDefault="004F1F38" w:rsidP="005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AD" w:rsidRDefault="000C0FBC" w:rsidP="00D1649E">
    <w:pPr>
      <w:pStyle w:val="Pieddepage"/>
      <w:pBdr>
        <w:top w:val="thinThickSmallGap" w:sz="24" w:space="1" w:color="622423"/>
      </w:pBdr>
      <w:tabs>
        <w:tab w:val="clear" w:pos="4513"/>
        <w:tab w:val="clear" w:pos="9026"/>
        <w:tab w:val="right" w:pos="9497"/>
      </w:tabs>
      <w:rPr>
        <w:rFonts w:ascii="Cambria" w:hAnsi="Cambria"/>
      </w:rPr>
    </w:pPr>
    <w:r>
      <w:rPr>
        <w:rFonts w:ascii="Cambria" w:hAnsi="Cambria"/>
      </w:rPr>
      <w:t>PV N°</w:t>
    </w:r>
    <w:r w:rsidR="00331E60">
      <w:rPr>
        <w:rFonts w:ascii="Cambria" w:hAnsi="Cambria"/>
      </w:rPr>
      <w:t>1</w:t>
    </w:r>
    <w:r w:rsidR="00847A17">
      <w:rPr>
        <w:rFonts w:ascii="Cambria" w:hAnsi="Cambria"/>
      </w:rPr>
      <w:t>5</w:t>
    </w:r>
    <w:r>
      <w:rPr>
        <w:rFonts w:ascii="Cambria" w:hAnsi="Cambria"/>
      </w:rPr>
      <w:t>/CMI/202</w:t>
    </w:r>
    <w:r w:rsidR="00331E60">
      <w:rPr>
        <w:rFonts w:ascii="Cambria" w:hAnsi="Cambria"/>
      </w:rPr>
      <w:t>4</w:t>
    </w:r>
    <w:r>
      <w:rPr>
        <w:rFonts w:ascii="Cambria" w:hAnsi="Cambria"/>
      </w:rPr>
      <w:t xml:space="preserve">, du </w:t>
    </w:r>
    <w:r w:rsidR="00847A17">
      <w:rPr>
        <w:rFonts w:ascii="Cambria" w:hAnsi="Cambria"/>
      </w:rPr>
      <w:t>25</w:t>
    </w:r>
    <w:r w:rsidR="005278CD">
      <w:rPr>
        <w:rFonts w:ascii="Cambria" w:hAnsi="Cambria"/>
      </w:rPr>
      <w:t>.</w:t>
    </w:r>
    <w:r w:rsidR="00331E60">
      <w:rPr>
        <w:rFonts w:ascii="Cambria" w:hAnsi="Cambria"/>
      </w:rPr>
      <w:t>0</w:t>
    </w:r>
    <w:r w:rsidR="00006A46">
      <w:rPr>
        <w:rFonts w:ascii="Cambria" w:hAnsi="Cambria"/>
      </w:rPr>
      <w:t>4</w:t>
    </w:r>
    <w:r w:rsidR="00105E73">
      <w:rPr>
        <w:rFonts w:ascii="Cambria" w:hAnsi="Cambria"/>
      </w:rPr>
      <w:t>.202</w:t>
    </w:r>
    <w:r w:rsidR="00331E60">
      <w:rPr>
        <w:rFonts w:ascii="Cambria" w:hAnsi="Cambria"/>
      </w:rPr>
      <w:t>4</w:t>
    </w:r>
    <w:r w:rsidR="00105E73">
      <w:rPr>
        <w:rFonts w:ascii="Cambria" w:hAnsi="Cambria"/>
      </w:rPr>
      <w:tab/>
      <w:t xml:space="preserve">Page </w:t>
    </w:r>
    <w:r w:rsidR="00105E73">
      <w:fldChar w:fldCharType="begin"/>
    </w:r>
    <w:r w:rsidR="00105E73">
      <w:instrText xml:space="preserve"> PAGE   \* MERGEFORMAT </w:instrText>
    </w:r>
    <w:r w:rsidR="00105E73">
      <w:fldChar w:fldCharType="separate"/>
    </w:r>
    <w:r w:rsidR="00D06419" w:rsidRPr="00D06419">
      <w:rPr>
        <w:rFonts w:ascii="Cambria" w:hAnsi="Cambria"/>
        <w:noProof/>
      </w:rPr>
      <w:t>5</w:t>
    </w:r>
    <w:r w:rsidR="00105E73">
      <w:fldChar w:fldCharType="end"/>
    </w:r>
  </w:p>
  <w:p w:rsidR="00E953AD" w:rsidRPr="00725156" w:rsidRDefault="00E953AD" w:rsidP="009F3291">
    <w:pPr>
      <w:pStyle w:val="Pieddepage"/>
      <w:tabs>
        <w:tab w:val="clear" w:pos="9026"/>
        <w:tab w:val="right" w:pos="9214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38" w:rsidRDefault="004F1F38" w:rsidP="005278CD">
      <w:pPr>
        <w:spacing w:after="0" w:line="240" w:lineRule="auto"/>
      </w:pPr>
      <w:r>
        <w:separator/>
      </w:r>
    </w:p>
  </w:footnote>
  <w:footnote w:type="continuationSeparator" w:id="0">
    <w:p w:rsidR="004F1F38" w:rsidRDefault="004F1F38" w:rsidP="0052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E7C1F"/>
    <w:multiLevelType w:val="hybridMultilevel"/>
    <w:tmpl w:val="FCACF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D"/>
    <w:rsid w:val="00006A46"/>
    <w:rsid w:val="00041DF0"/>
    <w:rsid w:val="00042809"/>
    <w:rsid w:val="00056C43"/>
    <w:rsid w:val="000C0FBC"/>
    <w:rsid w:val="00105E73"/>
    <w:rsid w:val="0015439A"/>
    <w:rsid w:val="001D68C6"/>
    <w:rsid w:val="002751F4"/>
    <w:rsid w:val="002A1F54"/>
    <w:rsid w:val="002A691C"/>
    <w:rsid w:val="00310348"/>
    <w:rsid w:val="00323C22"/>
    <w:rsid w:val="00331E60"/>
    <w:rsid w:val="003454A3"/>
    <w:rsid w:val="003606B7"/>
    <w:rsid w:val="00370C17"/>
    <w:rsid w:val="0038098A"/>
    <w:rsid w:val="003E6779"/>
    <w:rsid w:val="003E720B"/>
    <w:rsid w:val="00403481"/>
    <w:rsid w:val="00474C04"/>
    <w:rsid w:val="004F1F38"/>
    <w:rsid w:val="00502761"/>
    <w:rsid w:val="005278CD"/>
    <w:rsid w:val="0059049A"/>
    <w:rsid w:val="006370D9"/>
    <w:rsid w:val="00685D2E"/>
    <w:rsid w:val="006B7881"/>
    <w:rsid w:val="006D0FF1"/>
    <w:rsid w:val="007113A9"/>
    <w:rsid w:val="00725BC1"/>
    <w:rsid w:val="00734C37"/>
    <w:rsid w:val="007C56A2"/>
    <w:rsid w:val="008022B5"/>
    <w:rsid w:val="008470CE"/>
    <w:rsid w:val="00847A17"/>
    <w:rsid w:val="008626C4"/>
    <w:rsid w:val="0086390E"/>
    <w:rsid w:val="00867D8A"/>
    <w:rsid w:val="009156C0"/>
    <w:rsid w:val="00940EAF"/>
    <w:rsid w:val="0094146F"/>
    <w:rsid w:val="00962DD0"/>
    <w:rsid w:val="0096632D"/>
    <w:rsid w:val="00967393"/>
    <w:rsid w:val="00A77A5F"/>
    <w:rsid w:val="00A82BE6"/>
    <w:rsid w:val="00A834DB"/>
    <w:rsid w:val="00A905A2"/>
    <w:rsid w:val="00AB069F"/>
    <w:rsid w:val="00B51DA7"/>
    <w:rsid w:val="00B54C5D"/>
    <w:rsid w:val="00B62E12"/>
    <w:rsid w:val="00B80F06"/>
    <w:rsid w:val="00B86170"/>
    <w:rsid w:val="00B94940"/>
    <w:rsid w:val="00BA5C05"/>
    <w:rsid w:val="00BD0ADC"/>
    <w:rsid w:val="00BD3877"/>
    <w:rsid w:val="00BF1CB5"/>
    <w:rsid w:val="00C1589D"/>
    <w:rsid w:val="00C57D40"/>
    <w:rsid w:val="00C60849"/>
    <w:rsid w:val="00CA63C9"/>
    <w:rsid w:val="00CB689C"/>
    <w:rsid w:val="00D06419"/>
    <w:rsid w:val="00D8467C"/>
    <w:rsid w:val="00D9293D"/>
    <w:rsid w:val="00DB392F"/>
    <w:rsid w:val="00DC1724"/>
    <w:rsid w:val="00DC249A"/>
    <w:rsid w:val="00DD3824"/>
    <w:rsid w:val="00E378BD"/>
    <w:rsid w:val="00E4169D"/>
    <w:rsid w:val="00E5454C"/>
    <w:rsid w:val="00E7137E"/>
    <w:rsid w:val="00E72B0D"/>
    <w:rsid w:val="00E953AD"/>
    <w:rsid w:val="00EC26CC"/>
    <w:rsid w:val="00EC35CF"/>
    <w:rsid w:val="00EE09A6"/>
    <w:rsid w:val="00F0233F"/>
    <w:rsid w:val="00F253A8"/>
    <w:rsid w:val="00F43E8F"/>
    <w:rsid w:val="00F53186"/>
    <w:rsid w:val="00F5585C"/>
    <w:rsid w:val="00F64005"/>
    <w:rsid w:val="00F81137"/>
    <w:rsid w:val="00F812DA"/>
    <w:rsid w:val="00FB085A"/>
    <w:rsid w:val="00FC5B91"/>
    <w:rsid w:val="00FC7537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1536"/>
  <w15:docId w15:val="{B51DECBD-83B2-46A2-A91D-7A542C58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37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2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C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CD"/>
    <w:rPr>
      <w:rFonts w:ascii="Calibri" w:eastAsia="Calibri" w:hAnsi="Calibri" w:cs="Arial"/>
    </w:rPr>
  </w:style>
  <w:style w:type="character" w:styleId="lev">
    <w:name w:val="Strong"/>
    <w:basedOn w:val="Policepardfaut"/>
    <w:qFormat/>
    <w:rsid w:val="005278CD"/>
    <w:rPr>
      <w:b/>
      <w:bCs/>
    </w:rPr>
  </w:style>
  <w:style w:type="table" w:styleId="Grilledutableau">
    <w:name w:val="Table Grid"/>
    <w:basedOn w:val="TableauNormal"/>
    <w:uiPriority w:val="59"/>
    <w:rsid w:val="00FC5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2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13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6D12-63D3-49B9-8F80-F480CA2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2024-04-25T12:08:00Z</dcterms:created>
  <dcterms:modified xsi:type="dcterms:W3CDTF">2024-04-26T08:18:00Z</dcterms:modified>
</cp:coreProperties>
</file>