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0B" w:rsidRPr="00405131" w:rsidRDefault="008A3B0B" w:rsidP="008A3B0B">
      <w:pPr>
        <w:rPr>
          <w:b/>
          <w:sz w:val="24"/>
          <w:szCs w:val="24"/>
        </w:rPr>
      </w:pPr>
      <w:r w:rsidRPr="00405131">
        <w:rPr>
          <w:b/>
          <w:sz w:val="24"/>
          <w:szCs w:val="24"/>
        </w:rPr>
        <w:t>SOMELEC</w:t>
      </w:r>
    </w:p>
    <w:p w:rsidR="008A3B0B" w:rsidRPr="00405131" w:rsidRDefault="008A3B0B" w:rsidP="008A3B0B">
      <w:pPr>
        <w:tabs>
          <w:tab w:val="left" w:pos="7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DCPT/DP</w:t>
      </w:r>
      <w:r>
        <w:rPr>
          <w:b/>
          <w:sz w:val="24"/>
          <w:szCs w:val="24"/>
        </w:rPr>
        <w:tab/>
      </w:r>
    </w:p>
    <w:p w:rsidR="008A3B0B" w:rsidRDefault="008A3B0B" w:rsidP="008A3B0B">
      <w:r w:rsidRPr="00405131">
        <w:rPr>
          <w:b/>
          <w:sz w:val="24"/>
          <w:szCs w:val="24"/>
        </w:rPr>
        <w:t>Département de Maintenance</w:t>
      </w:r>
      <w:r>
        <w:t xml:space="preserve">                                                                                              </w:t>
      </w:r>
      <w:r>
        <w:rPr>
          <w:b/>
        </w:rPr>
        <w:t>04/10</w:t>
      </w:r>
      <w:r w:rsidRPr="00B86305">
        <w:rPr>
          <w:b/>
        </w:rPr>
        <w:t>/202</w:t>
      </w:r>
      <w:r>
        <w:rPr>
          <w:b/>
        </w:rPr>
        <w:t>2</w:t>
      </w:r>
    </w:p>
    <w:p w:rsidR="008A3B0B" w:rsidRPr="00661ED9" w:rsidRDefault="008A3B0B" w:rsidP="008A3B0B">
      <w:pPr>
        <w:tabs>
          <w:tab w:val="left" w:pos="1530"/>
        </w:tabs>
        <w:rPr>
          <w:b/>
          <w:sz w:val="28"/>
          <w:szCs w:val="28"/>
        </w:rPr>
      </w:pPr>
      <w:r>
        <w:tab/>
        <w:t xml:space="preserve">                               </w:t>
      </w:r>
      <w:r w:rsidRPr="00405131">
        <w:rPr>
          <w:b/>
          <w:sz w:val="28"/>
          <w:szCs w:val="28"/>
        </w:rPr>
        <w:t>CAHIER DE CHARGE</w:t>
      </w:r>
    </w:p>
    <w:tbl>
      <w:tblPr>
        <w:tblStyle w:val="Grilledutableau"/>
        <w:tblW w:w="0" w:type="auto"/>
        <w:tblInd w:w="1951" w:type="dxa"/>
        <w:tblLook w:val="04A0"/>
      </w:tblPr>
      <w:tblGrid>
        <w:gridCol w:w="5245"/>
      </w:tblGrid>
      <w:tr w:rsidR="008A3B0B" w:rsidTr="00A02EF1">
        <w:trPr>
          <w:trHeight w:val="1476"/>
        </w:trPr>
        <w:tc>
          <w:tcPr>
            <w:tcW w:w="5245" w:type="dxa"/>
          </w:tcPr>
          <w:p w:rsidR="008A3B0B" w:rsidRPr="00405131" w:rsidRDefault="008A3B0B" w:rsidP="008A3B0B">
            <w:pPr>
              <w:tabs>
                <w:tab w:val="left" w:pos="1140"/>
              </w:tabs>
              <w:jc w:val="center"/>
              <w:rPr>
                <w:b/>
                <w:sz w:val="28"/>
                <w:szCs w:val="28"/>
              </w:rPr>
            </w:pPr>
            <w:r w:rsidRPr="00405131">
              <w:rPr>
                <w:b/>
                <w:sz w:val="28"/>
                <w:szCs w:val="28"/>
              </w:rPr>
              <w:t>Groupe Electrogène</w:t>
            </w:r>
            <w:r>
              <w:rPr>
                <w:b/>
                <w:sz w:val="28"/>
                <w:szCs w:val="28"/>
              </w:rPr>
              <w:t xml:space="preserve"> 1×1000KVA à 1×1250KVA </w:t>
            </w:r>
            <w:r w:rsidRPr="00405131">
              <w:rPr>
                <w:b/>
                <w:sz w:val="28"/>
                <w:szCs w:val="28"/>
              </w:rPr>
              <w:t xml:space="preserve"> en marche </w:t>
            </w:r>
            <w:r>
              <w:rPr>
                <w:b/>
                <w:sz w:val="28"/>
                <w:szCs w:val="28"/>
              </w:rPr>
              <w:t>continu</w:t>
            </w:r>
          </w:p>
        </w:tc>
      </w:tr>
    </w:tbl>
    <w:p w:rsidR="008A3B0B" w:rsidRDefault="008A3B0B" w:rsidP="008A3B0B"/>
    <w:p w:rsidR="008A3B0B" w:rsidRPr="00405131" w:rsidRDefault="008A3B0B" w:rsidP="008A3B0B">
      <w:pPr>
        <w:rPr>
          <w:b/>
          <w:sz w:val="28"/>
          <w:szCs w:val="28"/>
        </w:rPr>
      </w:pPr>
      <w:r w:rsidRPr="00405131">
        <w:rPr>
          <w:b/>
          <w:sz w:val="24"/>
          <w:szCs w:val="24"/>
        </w:rPr>
        <w:t>Site utilisateur</w:t>
      </w:r>
      <w:r w:rsidRPr="00405131">
        <w:rPr>
          <w:b/>
        </w:rPr>
        <w:t xml:space="preserve"> : </w:t>
      </w:r>
      <w:r w:rsidRPr="00253F8F">
        <w:rPr>
          <w:b/>
          <w:sz w:val="24"/>
          <w:szCs w:val="24"/>
        </w:rPr>
        <w:t xml:space="preserve">Centrale </w:t>
      </w:r>
      <w:r>
        <w:rPr>
          <w:b/>
          <w:sz w:val="24"/>
          <w:szCs w:val="24"/>
        </w:rPr>
        <w:t>D’ATAR</w:t>
      </w:r>
      <w:r w:rsidRPr="00253F8F">
        <w:rPr>
          <w:b/>
          <w:sz w:val="24"/>
          <w:szCs w:val="24"/>
        </w:rPr>
        <w:t xml:space="preserve"> </w:t>
      </w:r>
    </w:p>
    <w:p w:rsidR="008A3B0B" w:rsidRPr="00405131" w:rsidRDefault="008A3B0B" w:rsidP="008A3B0B">
      <w:pPr>
        <w:tabs>
          <w:tab w:val="left" w:pos="1875"/>
        </w:tabs>
        <w:rPr>
          <w:b/>
          <w:sz w:val="32"/>
          <w:szCs w:val="32"/>
          <w:u w:val="single"/>
        </w:rPr>
      </w:pPr>
      <w:r>
        <w:tab/>
        <w:t xml:space="preserve">                </w:t>
      </w:r>
      <w:r w:rsidRPr="00405131">
        <w:rPr>
          <w:b/>
          <w:sz w:val="32"/>
          <w:szCs w:val="32"/>
          <w:u w:val="single"/>
        </w:rPr>
        <w:t xml:space="preserve">Spécifications techniques </w:t>
      </w:r>
    </w:p>
    <w:p w:rsidR="008A3B0B" w:rsidRDefault="008A3B0B" w:rsidP="008A3B0B">
      <w:pPr>
        <w:rPr>
          <w:sz w:val="24"/>
          <w:szCs w:val="24"/>
        </w:rPr>
      </w:pPr>
      <w:r>
        <w:rPr>
          <w:sz w:val="24"/>
          <w:szCs w:val="24"/>
        </w:rPr>
        <w:t xml:space="preserve">Le groupe doit être en exécution avec démarrage manuel. L’ensemble moteur et alternateur doit être flasque et insonorise (atténuation 65 à 85 </w:t>
      </w:r>
      <w:proofErr w:type="spellStart"/>
      <w:r>
        <w:rPr>
          <w:sz w:val="24"/>
          <w:szCs w:val="24"/>
        </w:rPr>
        <w:t>dba</w:t>
      </w:r>
      <w:proofErr w:type="spellEnd"/>
      <w:r>
        <w:rPr>
          <w:sz w:val="24"/>
          <w:szCs w:val="24"/>
        </w:rPr>
        <w:t xml:space="preserve"> à 7 m).</w:t>
      </w:r>
    </w:p>
    <w:p w:rsidR="008A3B0B" w:rsidRDefault="008A3B0B" w:rsidP="008A3B0B">
      <w:pPr>
        <w:rPr>
          <w:sz w:val="24"/>
          <w:szCs w:val="24"/>
        </w:rPr>
      </w:pPr>
      <w:r>
        <w:rPr>
          <w:sz w:val="24"/>
          <w:szCs w:val="24"/>
        </w:rPr>
        <w:t>Ce groupe électrogène doit avoir des puissances de production unitaire de 630KVA en marche continu sur changeables à 10% pendant une heure sur douze.</w:t>
      </w:r>
    </w:p>
    <w:p w:rsidR="008A3B0B" w:rsidRDefault="008A3B0B" w:rsidP="008A3B0B">
      <w:pPr>
        <w:rPr>
          <w:sz w:val="24"/>
          <w:szCs w:val="24"/>
        </w:rPr>
      </w:pPr>
      <w:r>
        <w:rPr>
          <w:sz w:val="24"/>
          <w:szCs w:val="24"/>
        </w:rPr>
        <w:t>Le soumissionnaire doit présenter des certificats ISO valides et des attestations du constricteur prouvent l’originalité de groupe électrogène.</w:t>
      </w:r>
    </w:p>
    <w:p w:rsidR="008A3B0B" w:rsidRDefault="008A3B0B" w:rsidP="008A3B0B">
      <w:pPr>
        <w:rPr>
          <w:sz w:val="24"/>
          <w:szCs w:val="24"/>
        </w:rPr>
      </w:pPr>
      <w:r>
        <w:rPr>
          <w:sz w:val="24"/>
          <w:szCs w:val="24"/>
        </w:rPr>
        <w:t>Ils doivent aussi préciser le nom et l’adresse de la personne garantissant le groupe fourni en cas de problème.</w:t>
      </w:r>
    </w:p>
    <w:p w:rsidR="008A3B0B" w:rsidRPr="00EF5AD4" w:rsidRDefault="008A3B0B" w:rsidP="008A3B0B">
      <w:pPr>
        <w:rPr>
          <w:b/>
          <w:sz w:val="24"/>
          <w:szCs w:val="24"/>
        </w:rPr>
      </w:pPr>
      <w:r w:rsidRPr="00EF5AD4">
        <w:rPr>
          <w:b/>
          <w:sz w:val="24"/>
          <w:szCs w:val="24"/>
        </w:rPr>
        <w:t>A/ Caractéristiques</w:t>
      </w:r>
    </w:p>
    <w:p w:rsidR="008A3B0B" w:rsidRDefault="008A3B0B" w:rsidP="008A3B0B">
      <w:pPr>
        <w:rPr>
          <w:b/>
          <w:sz w:val="24"/>
          <w:szCs w:val="24"/>
          <w:u w:val="single"/>
        </w:rPr>
      </w:pPr>
      <w:r w:rsidRPr="00EF5AD4">
        <w:rPr>
          <w:b/>
          <w:sz w:val="24"/>
          <w:szCs w:val="24"/>
          <w:u w:val="single"/>
        </w:rPr>
        <w:t>Moteur</w:t>
      </w:r>
    </w:p>
    <w:p w:rsidR="008A3B0B" w:rsidRDefault="008A3B0B" w:rsidP="008A3B0B">
      <w:pPr>
        <w:rPr>
          <w:sz w:val="24"/>
          <w:szCs w:val="24"/>
        </w:rPr>
      </w:pPr>
      <w:r>
        <w:rPr>
          <w:sz w:val="24"/>
          <w:szCs w:val="24"/>
        </w:rPr>
        <w:t>-  Vitesse 1500 tr/min</w:t>
      </w:r>
    </w:p>
    <w:p w:rsidR="008A3B0B" w:rsidRDefault="008A3B0B" w:rsidP="008A3B0B">
      <w:pPr>
        <w:rPr>
          <w:sz w:val="24"/>
          <w:szCs w:val="24"/>
        </w:rPr>
      </w:pPr>
      <w:r>
        <w:rPr>
          <w:sz w:val="24"/>
          <w:szCs w:val="24"/>
        </w:rPr>
        <w:t>-  Diesel à 4 temps refroidi par eau</w:t>
      </w:r>
    </w:p>
    <w:p w:rsidR="008A3B0B" w:rsidRDefault="008A3B0B" w:rsidP="008A3B0B">
      <w:pPr>
        <w:rPr>
          <w:sz w:val="24"/>
          <w:szCs w:val="24"/>
        </w:rPr>
      </w:pPr>
      <w:r>
        <w:rPr>
          <w:sz w:val="24"/>
          <w:szCs w:val="24"/>
        </w:rPr>
        <w:t>-  Pompe à carburant, huile, à eau, à engrenages</w:t>
      </w:r>
    </w:p>
    <w:p w:rsidR="008A3B0B" w:rsidRDefault="008A3B0B" w:rsidP="008A3B0B">
      <w:pPr>
        <w:rPr>
          <w:sz w:val="24"/>
          <w:szCs w:val="24"/>
        </w:rPr>
      </w:pPr>
      <w:r>
        <w:rPr>
          <w:sz w:val="24"/>
          <w:szCs w:val="24"/>
        </w:rPr>
        <w:t xml:space="preserve">-  Régulateur électronique </w:t>
      </w:r>
    </w:p>
    <w:p w:rsidR="008A3B0B" w:rsidRDefault="008A3B0B" w:rsidP="008A3B0B">
      <w:pPr>
        <w:rPr>
          <w:sz w:val="24"/>
          <w:szCs w:val="24"/>
        </w:rPr>
      </w:pPr>
      <w:r>
        <w:rPr>
          <w:sz w:val="24"/>
          <w:szCs w:val="24"/>
        </w:rPr>
        <w:t xml:space="preserve">-  Radiateur dimensionné pour température ambiante de 50 </w:t>
      </w:r>
      <w:r>
        <w:rPr>
          <w:rFonts w:ascii="Cambria" w:hAnsi="Cambria"/>
          <w:sz w:val="24"/>
          <w:szCs w:val="24"/>
        </w:rPr>
        <w:t>°</w:t>
      </w:r>
      <w:r>
        <w:rPr>
          <w:sz w:val="24"/>
          <w:szCs w:val="24"/>
        </w:rPr>
        <w:t>C</w:t>
      </w:r>
    </w:p>
    <w:p w:rsidR="008A3B0B" w:rsidRDefault="008A3B0B" w:rsidP="008A3B0B">
      <w:pPr>
        <w:rPr>
          <w:sz w:val="24"/>
          <w:szCs w:val="24"/>
        </w:rPr>
      </w:pPr>
      <w:r>
        <w:rPr>
          <w:sz w:val="24"/>
          <w:szCs w:val="24"/>
        </w:rPr>
        <w:t>-  Raccord flexible et échappement pour vibrations et dilatations</w:t>
      </w:r>
    </w:p>
    <w:p w:rsidR="008A3B0B" w:rsidRDefault="008A3B0B" w:rsidP="008A3B0B">
      <w:pPr>
        <w:rPr>
          <w:sz w:val="24"/>
          <w:szCs w:val="24"/>
        </w:rPr>
      </w:pPr>
      <w:r>
        <w:rPr>
          <w:sz w:val="24"/>
          <w:szCs w:val="24"/>
        </w:rPr>
        <w:t xml:space="preserve">-  Réservoir pour autonomie d’au moins 12 heures de fonctionnement en pleine charge </w:t>
      </w:r>
    </w:p>
    <w:p w:rsidR="008A3B0B" w:rsidRDefault="008A3B0B" w:rsidP="008A3B0B">
      <w:pPr>
        <w:rPr>
          <w:b/>
          <w:sz w:val="24"/>
          <w:szCs w:val="24"/>
          <w:u w:val="single"/>
        </w:rPr>
      </w:pPr>
      <w:r w:rsidRPr="001173FA">
        <w:rPr>
          <w:b/>
          <w:sz w:val="24"/>
          <w:szCs w:val="24"/>
          <w:u w:val="single"/>
        </w:rPr>
        <w:lastRenderedPageBreak/>
        <w:t xml:space="preserve">Alternateur </w:t>
      </w:r>
    </w:p>
    <w:p w:rsidR="008A3B0B" w:rsidRDefault="008A3B0B" w:rsidP="008A3B0B">
      <w:pPr>
        <w:rPr>
          <w:sz w:val="24"/>
          <w:szCs w:val="24"/>
        </w:rPr>
      </w:pPr>
      <w:r>
        <w:rPr>
          <w:sz w:val="24"/>
          <w:szCs w:val="24"/>
        </w:rPr>
        <w:t>-  Capacité de sur régime : 120%</w:t>
      </w:r>
    </w:p>
    <w:p w:rsidR="008A3B0B" w:rsidRDefault="008A3B0B" w:rsidP="008A3B0B">
      <w:pPr>
        <w:rPr>
          <w:sz w:val="24"/>
          <w:szCs w:val="24"/>
        </w:rPr>
      </w:pPr>
      <w:r>
        <w:rPr>
          <w:sz w:val="24"/>
          <w:szCs w:val="24"/>
        </w:rPr>
        <w:t>-  Régulation de tension : mois +/- ½ %</w:t>
      </w:r>
    </w:p>
    <w:p w:rsidR="008A3B0B" w:rsidRDefault="008A3B0B" w:rsidP="008A3B0B">
      <w:pPr>
        <w:rPr>
          <w:sz w:val="24"/>
          <w:szCs w:val="24"/>
        </w:rPr>
      </w:pPr>
      <w:r>
        <w:rPr>
          <w:sz w:val="24"/>
          <w:szCs w:val="24"/>
        </w:rPr>
        <w:t>-  Gain de tension réglage pour compenser le statisme moteur et les pertes en ligne</w:t>
      </w:r>
    </w:p>
    <w:p w:rsidR="008A3B0B" w:rsidRDefault="008A3B0B" w:rsidP="008A3B0B">
      <w:pPr>
        <w:rPr>
          <w:sz w:val="24"/>
          <w:szCs w:val="24"/>
        </w:rPr>
      </w:pPr>
      <w:r>
        <w:rPr>
          <w:sz w:val="24"/>
          <w:szCs w:val="24"/>
        </w:rPr>
        <w:t>-  Tension 230/400V, réglable au minimum +/- 10%</w:t>
      </w:r>
    </w:p>
    <w:p w:rsidR="008A3B0B" w:rsidRDefault="008A3B0B" w:rsidP="008A3B0B">
      <w:pPr>
        <w:tabs>
          <w:tab w:val="left" w:pos="4080"/>
        </w:tabs>
        <w:rPr>
          <w:sz w:val="24"/>
          <w:szCs w:val="24"/>
        </w:rPr>
      </w:pPr>
      <w:r>
        <w:rPr>
          <w:sz w:val="24"/>
          <w:szCs w:val="24"/>
        </w:rPr>
        <w:t>- Conforme au supérieur aux normes : NEMA  MG 1.22 et CEI 34/I</w:t>
      </w:r>
    </w:p>
    <w:p w:rsidR="008A3B0B" w:rsidRDefault="008A3B0B" w:rsidP="008A3B0B">
      <w:pPr>
        <w:rPr>
          <w:b/>
          <w:sz w:val="24"/>
          <w:szCs w:val="24"/>
          <w:u w:val="single"/>
        </w:rPr>
      </w:pPr>
      <w:r w:rsidRPr="0036721D">
        <w:rPr>
          <w:b/>
          <w:sz w:val="24"/>
          <w:szCs w:val="24"/>
          <w:u w:val="single"/>
        </w:rPr>
        <w:t>Panneau de contrôle / Commande</w:t>
      </w:r>
    </w:p>
    <w:p w:rsidR="008A3B0B" w:rsidRDefault="008A3B0B" w:rsidP="008A3B0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Ampèremètre, voltmètre (Affichage numérique)</w:t>
      </w:r>
    </w:p>
    <w:p w:rsidR="008A3B0B" w:rsidRDefault="008A3B0B" w:rsidP="008A3B0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Voltmètre CC, tachymètre, compteur horaire, fréquence (Affichage numérique)</w:t>
      </w:r>
    </w:p>
    <w:p w:rsidR="008A3B0B" w:rsidRDefault="008A3B0B" w:rsidP="008A3B0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Wattmètre et compteur d’énergie active</w:t>
      </w:r>
    </w:p>
    <w:p w:rsidR="008A3B0B" w:rsidRDefault="008A3B0B" w:rsidP="008A3B0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Pression d’huile</w:t>
      </w:r>
    </w:p>
    <w:p w:rsidR="008A3B0B" w:rsidRDefault="008A3B0B" w:rsidP="008A3B0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Température eau  du moteur</w:t>
      </w:r>
    </w:p>
    <w:p w:rsidR="008A3B0B" w:rsidRDefault="008A3B0B" w:rsidP="008A3B0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Bouton arrêt d’urgence</w:t>
      </w:r>
    </w:p>
    <w:p w:rsidR="008A3B0B" w:rsidRDefault="008A3B0B" w:rsidP="008A3B0B">
      <w:pPr>
        <w:rPr>
          <w:b/>
          <w:u w:val="single"/>
        </w:rPr>
      </w:pPr>
      <w:r w:rsidRPr="00295F53">
        <w:rPr>
          <w:b/>
          <w:u w:val="single"/>
        </w:rPr>
        <w:t xml:space="preserve">Sécurité entrainant d’arrêt du moteur </w:t>
      </w:r>
    </w:p>
    <w:p w:rsidR="008A3B0B" w:rsidRPr="00295F53" w:rsidRDefault="008A3B0B" w:rsidP="008A3B0B">
      <w:pPr>
        <w:pStyle w:val="Paragraphedeliste"/>
        <w:numPr>
          <w:ilvl w:val="0"/>
          <w:numId w:val="1"/>
        </w:numPr>
      </w:pPr>
      <w:r w:rsidRPr="00295F53">
        <w:t xml:space="preserve">Pression huile </w:t>
      </w:r>
    </w:p>
    <w:p w:rsidR="008A3B0B" w:rsidRPr="00295F53" w:rsidRDefault="008A3B0B" w:rsidP="008A3B0B">
      <w:pPr>
        <w:pStyle w:val="Paragraphedeliste"/>
        <w:numPr>
          <w:ilvl w:val="0"/>
          <w:numId w:val="1"/>
        </w:numPr>
      </w:pPr>
      <w:r w:rsidRPr="00295F53">
        <w:t>Température d’eau</w:t>
      </w:r>
    </w:p>
    <w:p w:rsidR="008A3B0B" w:rsidRPr="00295F53" w:rsidRDefault="008A3B0B" w:rsidP="008A3B0B">
      <w:pPr>
        <w:pStyle w:val="Paragraphedeliste"/>
        <w:numPr>
          <w:ilvl w:val="0"/>
          <w:numId w:val="1"/>
        </w:numPr>
      </w:pPr>
      <w:r w:rsidRPr="00295F53">
        <w:t>Sur vitesse</w:t>
      </w:r>
    </w:p>
    <w:p w:rsidR="008A3B0B" w:rsidRPr="00295F53" w:rsidRDefault="008A3B0B" w:rsidP="008A3B0B">
      <w:pPr>
        <w:pStyle w:val="Paragraphedeliste"/>
        <w:numPr>
          <w:ilvl w:val="0"/>
          <w:numId w:val="1"/>
        </w:numPr>
      </w:pPr>
      <w:r w:rsidRPr="00295F53">
        <w:t>Surtension</w:t>
      </w:r>
    </w:p>
    <w:p w:rsidR="008A3B0B" w:rsidRDefault="008A3B0B" w:rsidP="008A3B0B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295F53">
        <w:t>Sur charge</w:t>
      </w:r>
    </w:p>
    <w:p w:rsidR="008A3B0B" w:rsidRDefault="008A3B0B" w:rsidP="008A3B0B">
      <w:pPr>
        <w:rPr>
          <w:u w:val="single"/>
        </w:rPr>
      </w:pPr>
      <w:r w:rsidRPr="00295F53">
        <w:rPr>
          <w:b/>
          <w:u w:val="single"/>
        </w:rPr>
        <w:t xml:space="preserve">Accessoires </w:t>
      </w:r>
    </w:p>
    <w:p w:rsidR="008A3B0B" w:rsidRPr="00295F53" w:rsidRDefault="008A3B0B" w:rsidP="008A3B0B">
      <w:pPr>
        <w:pStyle w:val="Paragraphedeliste"/>
        <w:numPr>
          <w:ilvl w:val="0"/>
          <w:numId w:val="1"/>
        </w:numPr>
      </w:pPr>
      <w:r w:rsidRPr="00295F53">
        <w:t>Chargeur de batterie</w:t>
      </w:r>
    </w:p>
    <w:p w:rsidR="008A3B0B" w:rsidRPr="00295F53" w:rsidRDefault="008A3B0B" w:rsidP="008A3B0B">
      <w:pPr>
        <w:pStyle w:val="Paragraphedeliste"/>
        <w:numPr>
          <w:ilvl w:val="0"/>
          <w:numId w:val="1"/>
        </w:numPr>
      </w:pPr>
      <w:r w:rsidRPr="00295F53">
        <w:t>Batterie de démarrage</w:t>
      </w:r>
    </w:p>
    <w:p w:rsidR="008A3B0B" w:rsidRPr="00295F53" w:rsidRDefault="008A3B0B" w:rsidP="008A3B0B">
      <w:pPr>
        <w:pStyle w:val="Paragraphedeliste"/>
        <w:numPr>
          <w:ilvl w:val="0"/>
          <w:numId w:val="1"/>
        </w:numPr>
      </w:pPr>
      <w:r w:rsidRPr="00295F53">
        <w:t>Filtre à air ambiance poussière</w:t>
      </w:r>
    </w:p>
    <w:p w:rsidR="008A3B0B" w:rsidRPr="00295F53" w:rsidRDefault="008A3B0B" w:rsidP="008A3B0B">
      <w:pPr>
        <w:pStyle w:val="Paragraphedeliste"/>
        <w:numPr>
          <w:ilvl w:val="0"/>
          <w:numId w:val="1"/>
        </w:numPr>
      </w:pPr>
      <w:r w:rsidRPr="00295F53">
        <w:t>Pompe de vidange</w:t>
      </w:r>
    </w:p>
    <w:p w:rsidR="008A3B0B" w:rsidRDefault="008A3B0B" w:rsidP="008A3B0B">
      <w:pPr>
        <w:pStyle w:val="Paragraphedeliste"/>
        <w:rPr>
          <w:u w:val="single"/>
        </w:rPr>
      </w:pPr>
    </w:p>
    <w:p w:rsidR="008A3B0B" w:rsidRPr="00C97258" w:rsidRDefault="008A3B0B" w:rsidP="008A3B0B">
      <w:pPr>
        <w:rPr>
          <w:b/>
          <w:u w:val="single"/>
        </w:rPr>
      </w:pPr>
      <w:r w:rsidRPr="00C97258">
        <w:rPr>
          <w:b/>
          <w:u w:val="single"/>
        </w:rPr>
        <w:t xml:space="preserve">B/Fournitures de pièces de rechange </w:t>
      </w:r>
    </w:p>
    <w:p w:rsidR="008A3B0B" w:rsidRDefault="008A3B0B" w:rsidP="008A3B0B">
      <w:pPr>
        <w:pStyle w:val="Paragraphedeliste"/>
        <w:rPr>
          <w:b/>
          <w:u w:val="single"/>
        </w:rPr>
      </w:pPr>
    </w:p>
    <w:p w:rsidR="008A3B0B" w:rsidRDefault="008A3B0B" w:rsidP="008A3B0B">
      <w:pPr>
        <w:pStyle w:val="Paragraphedeliste"/>
        <w:numPr>
          <w:ilvl w:val="0"/>
          <w:numId w:val="2"/>
        </w:numPr>
      </w:pPr>
      <w:r w:rsidRPr="009F23AE">
        <w:t>Un lot d’outillage pour entretien courant</w:t>
      </w:r>
      <w:r>
        <w:t xml:space="preserve"> du</w:t>
      </w:r>
      <w:r w:rsidRPr="009F23AE">
        <w:t xml:space="preserve"> groupe</w:t>
      </w:r>
    </w:p>
    <w:p w:rsidR="008A3B0B" w:rsidRDefault="008A3B0B" w:rsidP="008A3B0B">
      <w:pPr>
        <w:pStyle w:val="Paragraphedeliste"/>
        <w:numPr>
          <w:ilvl w:val="0"/>
          <w:numId w:val="2"/>
        </w:numPr>
      </w:pPr>
      <w:r>
        <w:t xml:space="preserve">Une documentation complète en deux exemplaires en français  </w:t>
      </w:r>
    </w:p>
    <w:p w:rsidR="008A3B0B" w:rsidRPr="009F23AE" w:rsidRDefault="008A3B0B" w:rsidP="008A3B0B">
      <w:pPr>
        <w:pStyle w:val="Paragraphedeliste"/>
        <w:numPr>
          <w:ilvl w:val="0"/>
          <w:numId w:val="2"/>
        </w:numPr>
      </w:pPr>
      <w:r>
        <w:t xml:space="preserve">Un lot de pièces de rechange courantes pour le (10 </w:t>
      </w:r>
      <w:proofErr w:type="spellStart"/>
      <w:r>
        <w:t>Prefiltrs</w:t>
      </w:r>
      <w:proofErr w:type="spellEnd"/>
      <w:r>
        <w:t xml:space="preserve"> à gasoil ,10 filtres à gasoil, 20 filtres à huile et 10 filtres à air primaire, 10 filtre à air secondaire, 2 jeux de courroies, 1 jeu de carte électronique) pour le groupe. La carte électronique doit être réglable et paramétrées suivant la puissance et les caractéristiques du groupe.</w:t>
      </w:r>
    </w:p>
    <w:p w:rsidR="008A3B0B" w:rsidRDefault="008A3B0B" w:rsidP="008A3B0B">
      <w:pPr>
        <w:pStyle w:val="Paragraphedeliste"/>
        <w:ind w:left="1080"/>
        <w:rPr>
          <w:b/>
          <w:u w:val="single"/>
        </w:rPr>
      </w:pPr>
    </w:p>
    <w:p w:rsidR="008A3B0B" w:rsidRDefault="008A3B0B" w:rsidP="008A3B0B">
      <w:pPr>
        <w:rPr>
          <w:b/>
          <w:sz w:val="24"/>
          <w:szCs w:val="24"/>
          <w:u w:val="single"/>
        </w:rPr>
      </w:pPr>
    </w:p>
    <w:p w:rsidR="008A3B0B" w:rsidRDefault="008A3B0B" w:rsidP="008A3B0B">
      <w:pPr>
        <w:rPr>
          <w:b/>
          <w:sz w:val="24"/>
          <w:szCs w:val="24"/>
          <w:u w:val="single"/>
        </w:rPr>
      </w:pPr>
      <w:r w:rsidRPr="00C97258">
        <w:rPr>
          <w:b/>
          <w:sz w:val="24"/>
          <w:szCs w:val="24"/>
          <w:u w:val="single"/>
        </w:rPr>
        <w:lastRenderedPageBreak/>
        <w:t>C/Montage</w:t>
      </w:r>
    </w:p>
    <w:p w:rsidR="008A3B0B" w:rsidRDefault="008A3B0B" w:rsidP="008A3B0B">
      <w:pPr>
        <w:rPr>
          <w:sz w:val="24"/>
          <w:szCs w:val="24"/>
        </w:rPr>
      </w:pPr>
      <w:r w:rsidRPr="00C97258">
        <w:rPr>
          <w:sz w:val="24"/>
          <w:szCs w:val="24"/>
        </w:rPr>
        <w:t>Le montage et la mise en service sur site doit être assure par la SOMELEC</w:t>
      </w:r>
    </w:p>
    <w:p w:rsidR="008A3B0B" w:rsidRDefault="008A3B0B" w:rsidP="008A3B0B">
      <w:pPr>
        <w:rPr>
          <w:b/>
          <w:sz w:val="24"/>
          <w:szCs w:val="24"/>
          <w:u w:val="single"/>
        </w:rPr>
      </w:pPr>
    </w:p>
    <w:p w:rsidR="008A3B0B" w:rsidRDefault="008A3B0B" w:rsidP="008A3B0B">
      <w:pPr>
        <w:rPr>
          <w:b/>
          <w:sz w:val="24"/>
          <w:szCs w:val="24"/>
          <w:u w:val="single"/>
        </w:rPr>
      </w:pPr>
      <w:r w:rsidRPr="00C97258">
        <w:rPr>
          <w:b/>
          <w:sz w:val="24"/>
          <w:szCs w:val="24"/>
          <w:u w:val="single"/>
        </w:rPr>
        <w:t xml:space="preserve">D/ Essais de performance </w:t>
      </w:r>
    </w:p>
    <w:p w:rsidR="008A3B0B" w:rsidRDefault="008A3B0B" w:rsidP="008A3B0B">
      <w:r w:rsidRPr="00C97258">
        <w:t>Les essais seront effectués sur site d’installation en présence</w:t>
      </w:r>
      <w:r>
        <w:t xml:space="preserve"> du fournisseur ou de son </w:t>
      </w:r>
      <w:r w:rsidRPr="00C97258">
        <w:t xml:space="preserve">représentant. </w:t>
      </w:r>
      <w:r>
        <w:t>Cette procédure d’essais permettra d’effectuer le contrôle de conformité du groupe proposé ainsi que la performance.</w:t>
      </w:r>
    </w:p>
    <w:p w:rsidR="008A3B0B" w:rsidRDefault="008A3B0B" w:rsidP="008A3B0B">
      <w:r>
        <w:t>En cours de fonctionnement, les différents paramètres du groupe seront relevés :</w:t>
      </w:r>
    </w:p>
    <w:p w:rsidR="008A3B0B" w:rsidRDefault="008A3B0B" w:rsidP="008A3B0B">
      <w:pPr>
        <w:pStyle w:val="Paragraphedeliste"/>
        <w:numPr>
          <w:ilvl w:val="0"/>
          <w:numId w:val="3"/>
        </w:numPr>
      </w:pPr>
      <w:r>
        <w:t xml:space="preserve">Tension </w:t>
      </w:r>
    </w:p>
    <w:p w:rsidR="008A3B0B" w:rsidRDefault="008A3B0B" w:rsidP="008A3B0B">
      <w:pPr>
        <w:pStyle w:val="Paragraphedeliste"/>
        <w:numPr>
          <w:ilvl w:val="0"/>
          <w:numId w:val="3"/>
        </w:numPr>
      </w:pPr>
      <w:r>
        <w:t>Fréquence</w:t>
      </w:r>
    </w:p>
    <w:p w:rsidR="008A3B0B" w:rsidRDefault="008A3B0B" w:rsidP="008A3B0B">
      <w:pPr>
        <w:pStyle w:val="Paragraphedeliste"/>
        <w:numPr>
          <w:ilvl w:val="0"/>
          <w:numId w:val="3"/>
        </w:numPr>
      </w:pPr>
      <w:r>
        <w:t>Intensité</w:t>
      </w:r>
    </w:p>
    <w:p w:rsidR="008A3B0B" w:rsidRDefault="008A3B0B" w:rsidP="008A3B0B">
      <w:pPr>
        <w:pStyle w:val="Paragraphedeliste"/>
        <w:numPr>
          <w:ilvl w:val="0"/>
          <w:numId w:val="3"/>
        </w:numPr>
      </w:pPr>
      <w:r>
        <w:t>Puissance active</w:t>
      </w:r>
    </w:p>
    <w:p w:rsidR="008A3B0B" w:rsidRDefault="008A3B0B" w:rsidP="008A3B0B">
      <w:pPr>
        <w:pStyle w:val="Paragraphedeliste"/>
        <w:numPr>
          <w:ilvl w:val="0"/>
          <w:numId w:val="3"/>
        </w:numPr>
      </w:pPr>
      <w:r>
        <w:t>Température eau et huile</w:t>
      </w:r>
    </w:p>
    <w:p w:rsidR="008A3B0B" w:rsidRDefault="008A3B0B" w:rsidP="008A3B0B">
      <w:pPr>
        <w:pStyle w:val="Paragraphedeliste"/>
        <w:numPr>
          <w:ilvl w:val="0"/>
          <w:numId w:val="3"/>
        </w:numPr>
      </w:pPr>
      <w:r>
        <w:t>Pression huile Moteur</w:t>
      </w:r>
    </w:p>
    <w:p w:rsidR="008A3B0B" w:rsidRDefault="008A3B0B" w:rsidP="008A3B0B">
      <w:pPr>
        <w:pStyle w:val="Paragraphedeliste"/>
        <w:numPr>
          <w:ilvl w:val="0"/>
          <w:numId w:val="3"/>
        </w:numPr>
      </w:pPr>
      <w:r>
        <w:t>Consommation gas-oil</w:t>
      </w:r>
    </w:p>
    <w:p w:rsidR="008A3B0B" w:rsidRDefault="008A3B0B" w:rsidP="008A3B0B">
      <w:pPr>
        <w:pStyle w:val="Paragraphedeliste"/>
        <w:numPr>
          <w:ilvl w:val="0"/>
          <w:numId w:val="3"/>
        </w:numPr>
      </w:pPr>
      <w:r>
        <w:t>Contrôle de toutes les protections</w:t>
      </w:r>
    </w:p>
    <w:p w:rsidR="008A3B0B" w:rsidRDefault="008A3B0B" w:rsidP="008A3B0B">
      <w:pPr>
        <w:rPr>
          <w:b/>
          <w:u w:val="single"/>
        </w:rPr>
      </w:pPr>
      <w:r w:rsidRPr="004C00A0">
        <w:rPr>
          <w:b/>
          <w:u w:val="single"/>
        </w:rPr>
        <w:t>E/</w:t>
      </w:r>
      <w:r>
        <w:rPr>
          <w:b/>
          <w:u w:val="single"/>
        </w:rPr>
        <w:t xml:space="preserve"> </w:t>
      </w:r>
      <w:r w:rsidRPr="004C00A0">
        <w:rPr>
          <w:b/>
          <w:u w:val="single"/>
        </w:rPr>
        <w:t>Garantie</w:t>
      </w:r>
    </w:p>
    <w:p w:rsidR="008A3B0B" w:rsidRDefault="008A3B0B" w:rsidP="008A3B0B">
      <w:r>
        <w:t>Les soumissionnaires devra s’engager à :</w:t>
      </w:r>
    </w:p>
    <w:p w:rsidR="008A3B0B" w:rsidRDefault="008A3B0B" w:rsidP="008A3B0B">
      <w:pPr>
        <w:pStyle w:val="Paragraphedeliste"/>
        <w:numPr>
          <w:ilvl w:val="0"/>
          <w:numId w:val="1"/>
        </w:numPr>
      </w:pPr>
      <w:r>
        <w:t>D’assurer une garantie d’au mois 12 mois contre les défauts et vice de fabrication.</w:t>
      </w:r>
    </w:p>
    <w:p w:rsidR="008A3B0B" w:rsidRDefault="008A3B0B" w:rsidP="008A3B0B">
      <w:pPr>
        <w:pStyle w:val="Paragraphedeliste"/>
        <w:numPr>
          <w:ilvl w:val="0"/>
          <w:numId w:val="1"/>
        </w:numPr>
      </w:pPr>
      <w:r>
        <w:t>Le groupe sera considère entré en service lorsque il aura un service minimal d’une semaine d’essais sans incident majeur pu développer au moins 70% de sa puissance nominal.</w:t>
      </w:r>
    </w:p>
    <w:p w:rsidR="008A3B0B" w:rsidRDefault="008A3B0B" w:rsidP="008A3B0B">
      <w:r>
        <w:t>Cette date marquera le début de la garantie.</w:t>
      </w:r>
    </w:p>
    <w:p w:rsidR="008A3B0B" w:rsidRDefault="008A3B0B" w:rsidP="008A3B0B">
      <w:pPr>
        <w:tabs>
          <w:tab w:val="left" w:pos="1200"/>
        </w:tabs>
      </w:pPr>
      <w:r>
        <w:tab/>
      </w:r>
    </w:p>
    <w:p w:rsidR="008A3B0B" w:rsidRDefault="008A3B0B" w:rsidP="008A3B0B">
      <w:pPr>
        <w:tabs>
          <w:tab w:val="left" w:pos="1200"/>
        </w:tabs>
        <w:rPr>
          <w:b/>
          <w:sz w:val="28"/>
          <w:szCs w:val="28"/>
        </w:rPr>
      </w:pPr>
      <w:r>
        <w:t xml:space="preserve">                                </w:t>
      </w:r>
      <w:r>
        <w:rPr>
          <w:b/>
          <w:sz w:val="28"/>
          <w:szCs w:val="28"/>
        </w:rPr>
        <w:t>Le Directeur Central de Production et transport</w:t>
      </w:r>
      <w:r w:rsidRPr="000F121D">
        <w:rPr>
          <w:b/>
          <w:sz w:val="28"/>
          <w:szCs w:val="28"/>
        </w:rPr>
        <w:t xml:space="preserve"> </w:t>
      </w:r>
    </w:p>
    <w:p w:rsidR="008A3B0B" w:rsidRPr="001E3BAD" w:rsidRDefault="008A3B0B" w:rsidP="008A3B0B">
      <w:pPr>
        <w:rPr>
          <w:sz w:val="28"/>
          <w:szCs w:val="28"/>
        </w:rPr>
      </w:pPr>
    </w:p>
    <w:p w:rsidR="00DF79F5" w:rsidRDefault="00DF79F5"/>
    <w:sectPr w:rsidR="00DF7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4DEA"/>
    <w:multiLevelType w:val="hybridMultilevel"/>
    <w:tmpl w:val="E7E864F2"/>
    <w:lvl w:ilvl="0" w:tplc="438CA0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C4022"/>
    <w:multiLevelType w:val="hybridMultilevel"/>
    <w:tmpl w:val="68AE7CC0"/>
    <w:lvl w:ilvl="0" w:tplc="26088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312D8F"/>
    <w:multiLevelType w:val="hybridMultilevel"/>
    <w:tmpl w:val="9CC6F692"/>
    <w:lvl w:ilvl="0" w:tplc="5A18C1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8A3B0B"/>
    <w:rsid w:val="008A3B0B"/>
    <w:rsid w:val="00DF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3B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A3B0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2022-10-01T21:17:00Z</dcterms:created>
  <dcterms:modified xsi:type="dcterms:W3CDTF">2022-10-01T21:19:00Z</dcterms:modified>
</cp:coreProperties>
</file>