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54CAF" w14:textId="77777777" w:rsidR="00E93CBF" w:rsidRPr="00425129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bookmarkStart w:id="0" w:name="_GoBack"/>
      <w:bookmarkEnd w:id="0"/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REPUBLIQUE ISLAMIQUE DE MAURITANIE</w:t>
      </w:r>
    </w:p>
    <w:p w14:paraId="447BA6B9" w14:textId="77777777" w:rsidR="00E93CBF" w:rsidRPr="00425129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Honneur – Fraternité – Justice</w:t>
      </w:r>
    </w:p>
    <w:p w14:paraId="56B7D62E" w14:textId="77777777" w:rsidR="00E93CBF" w:rsidRPr="00425129" w:rsidRDefault="00E93CBF" w:rsidP="00F27B82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MINISTERE DU PETROLE, DE</w:t>
      </w:r>
      <w:r w:rsidR="00F27B82"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S</w:t>
      </w: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 xml:space="preserve"> MINES</w:t>
      </w:r>
      <w:r w:rsidR="00F27B82"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 xml:space="preserve"> ET DE L’ENERGIE </w:t>
      </w:r>
    </w:p>
    <w:p w14:paraId="038ABA07" w14:textId="53613830" w:rsidR="00A72D23" w:rsidRPr="00261718" w:rsidRDefault="00A72D23" w:rsidP="00A72D23">
      <w:pPr>
        <w:pStyle w:val="Document1"/>
        <w:tabs>
          <w:tab w:val="left" w:pos="708"/>
        </w:tabs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261718">
        <w:rPr>
          <w:rFonts w:asciiTheme="majorBidi" w:hAnsiTheme="majorBidi" w:cstheme="majorBidi"/>
          <w:b/>
          <w:bCs/>
          <w:spacing w:val="-3"/>
          <w:szCs w:val="24"/>
          <w:lang w:val="fr-FR"/>
        </w:rPr>
        <w:t>SOCIÉTÉ MAURITANIENNE D’ÉLECTRICITÉ</w:t>
      </w:r>
    </w:p>
    <w:p w14:paraId="65A08DC8" w14:textId="77777777" w:rsidR="00E93CBF" w:rsidRPr="00425129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</w:p>
    <w:p w14:paraId="5B6C2126" w14:textId="42F70256" w:rsidR="00E93CBF" w:rsidRPr="009E052D" w:rsidRDefault="009E052D" w:rsidP="00E93CBF">
      <w:pPr>
        <w:jc w:val="center"/>
        <w:rPr>
          <w:rFonts w:asciiTheme="majorBidi" w:hAnsiTheme="majorBidi" w:cstheme="majorBidi"/>
          <w:b/>
          <w:caps/>
        </w:rPr>
      </w:pPr>
      <w:r w:rsidRPr="009E052D">
        <w:rPr>
          <w:rFonts w:asciiTheme="majorBidi" w:hAnsiTheme="majorBidi" w:cstheme="majorBidi"/>
          <w:b/>
        </w:rPr>
        <w:t>Commission de Passation des Marchés</w:t>
      </w:r>
      <w:r w:rsidR="00A72D23">
        <w:rPr>
          <w:rFonts w:asciiTheme="majorBidi" w:hAnsiTheme="majorBidi" w:cstheme="majorBidi"/>
          <w:b/>
        </w:rPr>
        <w:t xml:space="preserve"> d’Investissement de la SOMELEC </w:t>
      </w:r>
    </w:p>
    <w:p w14:paraId="2F1837AE" w14:textId="53E5C140" w:rsidR="00E93CBF" w:rsidRPr="00425129" w:rsidRDefault="00E93CBF" w:rsidP="00CC3AA2">
      <w:pPr>
        <w:pBdr>
          <w:bottom w:val="single" w:sz="4" w:space="3" w:color="auto"/>
        </w:pBdr>
        <w:jc w:val="center"/>
        <w:rPr>
          <w:rFonts w:asciiTheme="majorBidi" w:hAnsiTheme="majorBidi" w:cstheme="majorBidi"/>
          <w:bCs/>
          <w:caps/>
        </w:rPr>
      </w:pPr>
      <w:r w:rsidRPr="00425129">
        <w:rPr>
          <w:rFonts w:asciiTheme="majorBidi" w:hAnsiTheme="majorBidi" w:cstheme="majorBidi"/>
          <w:bCs/>
          <w:caps/>
        </w:rPr>
        <w:t>Avis</w:t>
      </w:r>
      <w:r w:rsidR="00F27B82" w:rsidRPr="00425129">
        <w:rPr>
          <w:rFonts w:asciiTheme="majorBidi" w:hAnsiTheme="majorBidi" w:cstheme="majorBidi"/>
          <w:bCs/>
          <w:caps/>
        </w:rPr>
        <w:t xml:space="preserve"> </w:t>
      </w:r>
      <w:r w:rsidR="00261718">
        <w:rPr>
          <w:rFonts w:asciiTheme="majorBidi" w:hAnsiTheme="majorBidi" w:cstheme="majorBidi"/>
          <w:bCs/>
          <w:caps/>
        </w:rPr>
        <w:t>D’</w:t>
      </w:r>
      <w:r w:rsidR="00261718" w:rsidRPr="00261718">
        <w:rPr>
          <w:rFonts w:asciiTheme="majorBidi" w:hAnsiTheme="majorBidi" w:cstheme="majorBidi"/>
          <w:bCs/>
          <w:caps/>
        </w:rPr>
        <w:t>Intention d’attribution</w:t>
      </w:r>
      <w:r w:rsidR="00261718" w:rsidRPr="00135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5129" w:rsidRPr="00425129">
        <w:rPr>
          <w:rFonts w:asciiTheme="majorBidi" w:hAnsiTheme="majorBidi" w:cstheme="majorBidi"/>
          <w:bCs/>
          <w:caps/>
        </w:rPr>
        <w:t>DE</w:t>
      </w:r>
      <w:r w:rsidR="00AD113D" w:rsidRPr="00425129">
        <w:rPr>
          <w:rFonts w:asciiTheme="majorBidi" w:hAnsiTheme="majorBidi" w:cstheme="majorBidi"/>
          <w:bCs/>
          <w:caps/>
        </w:rPr>
        <w:t xml:space="preserve"> marché</w:t>
      </w:r>
    </w:p>
    <w:p w14:paraId="02A35DD5" w14:textId="77777777" w:rsidR="00FF7C4B" w:rsidRDefault="00FF7C4B" w:rsidP="005A6FDD">
      <w:pPr>
        <w:ind w:righ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FB348BE" w14:textId="77777777" w:rsidR="00A72D23" w:rsidRDefault="00E93CBF" w:rsidP="00A72D23">
      <w:pPr>
        <w:ind w:right="-142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Objet :</w:t>
      </w:r>
      <w:r w:rsidR="009B5D62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="00997B80" w:rsidRPr="00997B80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Recrutement</w:t>
      </w:r>
      <w:r w:rsidR="00B92A0C" w:rsidRPr="00B92A0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A72D23" w:rsidRPr="00A72D2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d’un consultant pour la réalisation des Études pour l’Élaboration d'un Plan d'Amélioration des Performances (PAP) de la Société Mauritanienne d'Électricité (SOMELEC)</w:t>
      </w:r>
    </w:p>
    <w:p w14:paraId="0B49F493" w14:textId="651B3453" w:rsidR="00F57891" w:rsidRPr="005A6FDD" w:rsidRDefault="00E93CBF" w:rsidP="00A72D23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Mode de passation :</w:t>
      </w:r>
      <w:r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="00997B80" w:rsidRPr="00997B80">
        <w:rPr>
          <w:rFonts w:asciiTheme="majorBidi" w:hAnsiTheme="majorBidi" w:cstheme="majorBidi"/>
          <w:sz w:val="24"/>
          <w:szCs w:val="24"/>
        </w:rPr>
        <w:t>Qualification de Consultants (QC)</w:t>
      </w:r>
    </w:p>
    <w:p w14:paraId="7E586A62" w14:textId="2F84138C" w:rsidR="00E93CBF" w:rsidRPr="001D4542" w:rsidRDefault="00E93CBF" w:rsidP="0084547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Date de publication de l’AMI</w:t>
      </w:r>
      <w:r w:rsidR="00AB7A92" w:rsidRPr="001D454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F57F65" w:rsidRPr="001D454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F57F65" w:rsidRPr="001D4542">
        <w:rPr>
          <w:rFonts w:asciiTheme="majorBidi" w:hAnsiTheme="majorBidi" w:cstheme="majorBidi"/>
          <w:sz w:val="24"/>
          <w:szCs w:val="24"/>
        </w:rPr>
        <w:t xml:space="preserve"> le</w:t>
      </w:r>
      <w:r w:rsidR="00AD113D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="0030347F">
        <w:rPr>
          <w:rFonts w:asciiTheme="majorBidi" w:hAnsiTheme="majorBidi" w:cstheme="majorBidi"/>
          <w:sz w:val="24"/>
          <w:szCs w:val="24"/>
        </w:rPr>
        <w:t>25 juillet 2022</w:t>
      </w:r>
    </w:p>
    <w:p w14:paraId="20F631BB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1FDE9DCA" w14:textId="7CF631F9" w:rsidR="00E93CBF" w:rsidRPr="001D4542" w:rsidRDefault="00E93CBF" w:rsidP="0084547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Date d’ouverture des plis</w:t>
      </w:r>
      <w:r w:rsidR="00AB7A92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E36BB8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36BB8" w:rsidRPr="001D4542">
        <w:rPr>
          <w:rFonts w:asciiTheme="majorBidi" w:hAnsiTheme="majorBidi" w:cstheme="majorBidi"/>
          <w:sz w:val="24"/>
          <w:szCs w:val="24"/>
        </w:rPr>
        <w:t xml:space="preserve"> le </w:t>
      </w:r>
      <w:r w:rsidR="0030347F">
        <w:rPr>
          <w:rFonts w:asciiTheme="majorBidi" w:hAnsiTheme="majorBidi" w:cstheme="majorBidi"/>
          <w:sz w:val="24"/>
          <w:szCs w:val="24"/>
        </w:rPr>
        <w:t xml:space="preserve">28 août 2022 </w:t>
      </w:r>
    </w:p>
    <w:p w14:paraId="3A581378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5FEFA833" w14:textId="6E5174C3" w:rsidR="00E93CBF" w:rsidRPr="001D4542" w:rsidRDefault="00EF1F02" w:rsidP="00CC3AA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Nombres </w:t>
      </w:r>
      <w:r w:rsidR="005669A2" w:rsidRPr="001D4542">
        <w:rPr>
          <w:rFonts w:asciiTheme="majorBidi" w:hAnsiTheme="majorBidi" w:cstheme="majorBidi"/>
          <w:b/>
          <w:bCs/>
          <w:sz w:val="24"/>
          <w:szCs w:val="24"/>
        </w:rPr>
        <w:t>des Manifestations d’</w:t>
      </w:r>
      <w:r w:rsidR="0073730D" w:rsidRPr="001D4542">
        <w:rPr>
          <w:rFonts w:asciiTheme="majorBidi" w:hAnsiTheme="majorBidi" w:cstheme="majorBidi"/>
          <w:b/>
          <w:bCs/>
          <w:sz w:val="24"/>
          <w:szCs w:val="24"/>
        </w:rPr>
        <w:t>intérêt</w:t>
      </w:r>
      <w:r w:rsidR="005669A2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3730D" w:rsidRPr="001D4542">
        <w:rPr>
          <w:rFonts w:asciiTheme="majorBidi" w:hAnsiTheme="majorBidi" w:cstheme="majorBidi"/>
          <w:b/>
          <w:bCs/>
          <w:sz w:val="24"/>
          <w:szCs w:val="24"/>
        </w:rPr>
        <w:t>reçues</w:t>
      </w:r>
      <w:r w:rsidRPr="001D454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1D4542">
        <w:rPr>
          <w:rFonts w:asciiTheme="majorBidi" w:hAnsiTheme="majorBidi" w:cstheme="majorBidi"/>
          <w:sz w:val="24"/>
          <w:szCs w:val="24"/>
        </w:rPr>
        <w:t xml:space="preserve">: </w:t>
      </w:r>
      <w:r w:rsidR="0037293C">
        <w:rPr>
          <w:rFonts w:asciiTheme="majorBidi" w:hAnsiTheme="majorBidi" w:cstheme="majorBidi"/>
          <w:sz w:val="24"/>
          <w:szCs w:val="24"/>
        </w:rPr>
        <w:t>Douze (12)</w:t>
      </w:r>
      <w:r w:rsidR="009A2D1F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Pr="001D4542">
        <w:rPr>
          <w:rFonts w:asciiTheme="majorBidi" w:hAnsiTheme="majorBidi" w:cstheme="majorBidi"/>
          <w:sz w:val="24"/>
          <w:szCs w:val="24"/>
        </w:rPr>
        <w:t xml:space="preserve"> </w:t>
      </w:r>
    </w:p>
    <w:p w14:paraId="0814A2EB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45AA76C6" w14:textId="77777777" w:rsidR="00A72D23" w:rsidRPr="00A72D23" w:rsidRDefault="00EF1F02" w:rsidP="00A72D23">
      <w:pPr>
        <w:pStyle w:val="Default"/>
        <w:rPr>
          <w:rFonts w:asciiTheme="majorBidi" w:hAnsiTheme="majorBidi" w:cstheme="majorBidi"/>
          <w:b/>
          <w:bCs/>
        </w:rPr>
      </w:pPr>
      <w:r w:rsidRPr="001D4542">
        <w:rPr>
          <w:rFonts w:asciiTheme="majorBidi" w:hAnsiTheme="majorBidi" w:cstheme="majorBidi"/>
          <w:b/>
          <w:bCs/>
        </w:rPr>
        <w:t>Nom de l’</w:t>
      </w:r>
      <w:r w:rsidR="00CD4DB9" w:rsidRPr="001D4542">
        <w:rPr>
          <w:rFonts w:asciiTheme="majorBidi" w:hAnsiTheme="majorBidi" w:cstheme="majorBidi"/>
          <w:b/>
          <w:bCs/>
        </w:rPr>
        <w:t>Attributaire</w:t>
      </w:r>
      <w:r w:rsidRPr="001D4542">
        <w:rPr>
          <w:rFonts w:asciiTheme="majorBidi" w:hAnsiTheme="majorBidi" w:cstheme="majorBidi"/>
        </w:rPr>
        <w:t> :</w:t>
      </w:r>
      <w:r w:rsidR="00AB7A92" w:rsidRPr="001D4542">
        <w:rPr>
          <w:rFonts w:asciiTheme="majorBidi" w:hAnsiTheme="majorBidi" w:cstheme="majorBidi"/>
        </w:rPr>
        <w:t xml:space="preserve"> </w:t>
      </w:r>
      <w:r w:rsidR="00A72D23" w:rsidRPr="00A72D23">
        <w:rPr>
          <w:rFonts w:asciiTheme="majorBidi" w:hAnsiTheme="majorBidi" w:cstheme="majorBidi"/>
        </w:rPr>
        <w:t>Groupement PHOENIX CONSULTING INTERNATIONAL-ARTELIA</w:t>
      </w:r>
      <w:r w:rsidR="005F0874" w:rsidRPr="00A72D23">
        <w:rPr>
          <w:rFonts w:asciiTheme="majorBidi" w:hAnsiTheme="majorBidi" w:cstheme="majorBidi"/>
        </w:rPr>
        <w:t xml:space="preserve">, dont l’adresse </w:t>
      </w:r>
      <w:r w:rsidR="00997B80" w:rsidRPr="00A72D23">
        <w:rPr>
          <w:rFonts w:asciiTheme="majorBidi" w:hAnsiTheme="majorBidi" w:cstheme="majorBidi"/>
        </w:rPr>
        <w:t>du chef de</w:t>
      </w:r>
      <w:r w:rsidR="00B92A0C" w:rsidRPr="00A72D23">
        <w:rPr>
          <w:rFonts w:asciiTheme="majorBidi" w:hAnsiTheme="majorBidi" w:cstheme="majorBidi"/>
        </w:rPr>
        <w:t xml:space="preserve"> </w:t>
      </w:r>
      <w:r w:rsidR="00997B80" w:rsidRPr="00A72D23">
        <w:rPr>
          <w:rFonts w:asciiTheme="majorBidi" w:hAnsiTheme="majorBidi" w:cstheme="majorBidi"/>
        </w:rPr>
        <w:t xml:space="preserve">file </w:t>
      </w:r>
      <w:r w:rsidR="005F0874" w:rsidRPr="00A72D23">
        <w:rPr>
          <w:rFonts w:asciiTheme="majorBidi" w:hAnsiTheme="majorBidi" w:cstheme="majorBidi"/>
        </w:rPr>
        <w:t>est</w:t>
      </w:r>
      <w:r w:rsidR="00A72D23" w:rsidRPr="00A72D23">
        <w:rPr>
          <w:rFonts w:asciiTheme="majorBidi" w:hAnsiTheme="majorBidi" w:cstheme="majorBidi"/>
        </w:rPr>
        <w:t> : 23 rue Clapeyron, 75008 Paris – France</w:t>
      </w:r>
      <w:r w:rsidR="001261AD" w:rsidRPr="00A72D23">
        <w:rPr>
          <w:rFonts w:asciiTheme="majorBidi" w:hAnsiTheme="majorBidi" w:cstheme="majorBidi"/>
        </w:rPr>
        <w:t>,</w:t>
      </w:r>
      <w:r w:rsidR="00997B80" w:rsidRPr="00A72D23">
        <w:rPr>
          <w:rFonts w:asciiTheme="majorBidi" w:hAnsiTheme="majorBidi" w:cstheme="majorBidi"/>
        </w:rPr>
        <w:t xml:space="preserve"> </w:t>
      </w:r>
      <w:r w:rsidR="00FF7C4B" w:rsidRPr="00A72D23">
        <w:rPr>
          <w:rFonts w:asciiTheme="majorBidi" w:hAnsiTheme="majorBidi" w:cstheme="majorBidi"/>
        </w:rPr>
        <w:t>Email</w:t>
      </w:r>
      <w:r w:rsidR="00A72D23" w:rsidRPr="00A72D23">
        <w:rPr>
          <w:rFonts w:asciiTheme="majorBidi" w:hAnsiTheme="majorBidi" w:cstheme="majorBidi"/>
        </w:rPr>
        <w:t xml:space="preserve"> : </w:t>
      </w:r>
      <w:hyperlink r:id="rId6" w:history="1">
        <w:r w:rsidR="00A72D23" w:rsidRPr="00A72D23">
          <w:rPr>
            <w:rStyle w:val="Lienhypertexte"/>
            <w:rFonts w:asciiTheme="majorBidi" w:hAnsiTheme="majorBidi" w:cstheme="majorBidi"/>
            <w:b/>
            <w:bCs/>
          </w:rPr>
          <w:t>contact@phoenix-ci.fr</w:t>
        </w:r>
      </w:hyperlink>
    </w:p>
    <w:p w14:paraId="46B50554" w14:textId="0BE81A37" w:rsidR="004E7A5E" w:rsidRPr="00B92A0C" w:rsidRDefault="00997B80" w:rsidP="0030347F">
      <w:pPr>
        <w:pStyle w:val="Default"/>
        <w:rPr>
          <w:rFonts w:asciiTheme="majorBidi" w:hAnsiTheme="majorBidi" w:cstheme="majorBidi"/>
        </w:rPr>
      </w:pPr>
      <w:r w:rsidRPr="00B92A0C">
        <w:t xml:space="preserve"> </w:t>
      </w:r>
    </w:p>
    <w:p w14:paraId="179AA8B1" w14:textId="00137936" w:rsidR="001E1392" w:rsidRPr="00BE737E" w:rsidRDefault="001E1392" w:rsidP="00E570EA">
      <w:pPr>
        <w:pStyle w:val="Sansinterligne"/>
        <w:ind w:left="3828" w:hanging="3828"/>
        <w:rPr>
          <w:rFonts w:asciiTheme="majorBidi" w:hAnsiTheme="majorBidi" w:cstheme="majorBidi"/>
          <w:b/>
          <w:bCs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Montant de l’offre retenu hors taxes : </w:t>
      </w:r>
      <w:r w:rsidR="00E570EA">
        <w:rPr>
          <w:rFonts w:ascii="Times New Roman" w:hAnsi="Times New Roman" w:cs="Times New Roman"/>
          <w:b/>
          <w:bCs/>
          <w:sz w:val="24"/>
          <w:szCs w:val="24"/>
        </w:rPr>
        <w:t>Trois</w:t>
      </w:r>
      <w:r w:rsidR="00E570EA" w:rsidRPr="00132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70EA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="00E570EA" w:rsidRPr="00132EBE">
        <w:rPr>
          <w:rFonts w:ascii="Times New Roman" w:hAnsi="Times New Roman" w:cs="Times New Roman"/>
          <w:b/>
          <w:bCs/>
          <w:sz w:val="24"/>
          <w:szCs w:val="24"/>
        </w:rPr>
        <w:t xml:space="preserve">nt </w:t>
      </w:r>
      <w:r w:rsidR="00E570EA">
        <w:rPr>
          <w:rFonts w:ascii="Times New Roman" w:hAnsi="Times New Roman" w:cs="Times New Roman"/>
          <w:b/>
          <w:bCs/>
          <w:sz w:val="24"/>
          <w:szCs w:val="24"/>
        </w:rPr>
        <w:t xml:space="preserve">Quarante Sept Mille Cinq Cent Cinquante </w:t>
      </w:r>
      <w:r w:rsidR="00E570EA" w:rsidRPr="00132EBE">
        <w:rPr>
          <w:rFonts w:ascii="Times New Roman" w:hAnsi="Times New Roman" w:cs="Times New Roman"/>
          <w:b/>
          <w:bCs/>
          <w:sz w:val="24"/>
          <w:szCs w:val="24"/>
        </w:rPr>
        <w:t>(</w:t>
      </w:r>
      <w:bookmarkStart w:id="1" w:name="_Hlk148889537"/>
      <w:r w:rsidR="00E570EA" w:rsidRPr="00ED730F">
        <w:rPr>
          <w:rFonts w:ascii="Times New Roman" w:hAnsi="Times New Roman" w:cs="Times New Roman"/>
          <w:b/>
          <w:bCs/>
          <w:sz w:val="24"/>
          <w:szCs w:val="24"/>
        </w:rPr>
        <w:t>347 550</w:t>
      </w:r>
      <w:r w:rsidR="00E570EA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1"/>
      <w:r w:rsidR="00E570EA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570EA" w:rsidRPr="00ED730F">
        <w:rPr>
          <w:rFonts w:ascii="Times New Roman" w:hAnsi="Times New Roman" w:cs="Times New Roman"/>
          <w:b/>
          <w:bCs/>
          <w:sz w:val="24"/>
          <w:szCs w:val="24"/>
        </w:rPr>
        <w:t>uros</w:t>
      </w:r>
    </w:p>
    <w:p w14:paraId="23465B08" w14:textId="77777777" w:rsidR="001E1392" w:rsidRPr="001D4542" w:rsidRDefault="001E1392" w:rsidP="001E139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5D1EF561" w14:textId="5E3A4819" w:rsidR="001E1392" w:rsidRPr="001D4542" w:rsidRDefault="001E1392" w:rsidP="0084547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Délai d’exécution </w:t>
      </w:r>
      <w:r w:rsidR="00425129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A72D23">
        <w:rPr>
          <w:rFonts w:asciiTheme="majorBidi" w:hAnsiTheme="majorBidi" w:cstheme="majorBidi"/>
          <w:b/>
          <w:bCs/>
          <w:sz w:val="24"/>
          <w:szCs w:val="24"/>
        </w:rPr>
        <w:t>Six</w:t>
      </w:r>
      <w:r w:rsidR="005F08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D7AD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A72D23">
        <w:rPr>
          <w:rFonts w:asciiTheme="majorBidi" w:hAnsiTheme="majorBidi" w:cstheme="majorBidi"/>
          <w:b/>
          <w:bCs/>
          <w:sz w:val="24"/>
          <w:szCs w:val="24"/>
        </w:rPr>
        <w:t>06</w:t>
      </w:r>
      <w:r w:rsidR="006D7AD8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F57F65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="00F57F65" w:rsidRPr="00BE737E">
        <w:rPr>
          <w:rFonts w:asciiTheme="majorBidi" w:hAnsiTheme="majorBidi" w:cstheme="majorBidi"/>
          <w:b/>
          <w:bCs/>
          <w:sz w:val="24"/>
          <w:szCs w:val="24"/>
        </w:rPr>
        <w:t>mois</w:t>
      </w:r>
    </w:p>
    <w:p w14:paraId="07B88247" w14:textId="77777777" w:rsidR="001E1392" w:rsidRPr="001D4542" w:rsidRDefault="001E1392" w:rsidP="001E139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4C6A90D2" w14:textId="3F7BD5A4" w:rsidR="001E1392" w:rsidRPr="001D4542" w:rsidRDefault="001E1392" w:rsidP="001E139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Source de financement</w:t>
      </w:r>
      <w:r w:rsidR="009A2D1F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A10ACA">
        <w:rPr>
          <w:rFonts w:asciiTheme="majorBidi" w:hAnsiTheme="majorBidi" w:cstheme="majorBidi"/>
          <w:sz w:val="24"/>
          <w:szCs w:val="24"/>
        </w:rPr>
        <w:t xml:space="preserve">Banque Mondiale </w:t>
      </w:r>
    </w:p>
    <w:p w14:paraId="289511B5" w14:textId="77777777" w:rsidR="009B5D62" w:rsidRPr="001D4542" w:rsidRDefault="009B5D62" w:rsidP="00E36BB8">
      <w:pPr>
        <w:pStyle w:val="Sansinterligne"/>
        <w:jc w:val="right"/>
        <w:rPr>
          <w:rFonts w:asciiTheme="majorBidi" w:hAnsiTheme="majorBidi" w:cstheme="majorBidi"/>
          <w:sz w:val="24"/>
          <w:szCs w:val="24"/>
        </w:rPr>
      </w:pPr>
    </w:p>
    <w:p w14:paraId="79D518BA" w14:textId="5C934ED5" w:rsidR="00EF1F02" w:rsidRPr="001D4542" w:rsidRDefault="009B5D62" w:rsidP="001261AD">
      <w:pPr>
        <w:pStyle w:val="Sansinterligne"/>
        <w:jc w:val="right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sz w:val="24"/>
          <w:szCs w:val="24"/>
        </w:rPr>
        <w:t>Nouakchott</w:t>
      </w:r>
      <w:r w:rsidR="009909BB" w:rsidRPr="001D4542">
        <w:rPr>
          <w:rFonts w:asciiTheme="majorBidi" w:hAnsiTheme="majorBidi" w:cstheme="majorBidi"/>
          <w:sz w:val="24"/>
          <w:szCs w:val="24"/>
        </w:rPr>
        <w:t>,</w:t>
      </w:r>
      <w:r w:rsidRPr="001D4542">
        <w:rPr>
          <w:rFonts w:asciiTheme="majorBidi" w:hAnsiTheme="majorBidi" w:cstheme="majorBidi"/>
          <w:sz w:val="24"/>
          <w:szCs w:val="24"/>
        </w:rPr>
        <w:t xml:space="preserve"> le </w:t>
      </w:r>
      <w:r w:rsidR="00A72D23">
        <w:rPr>
          <w:rFonts w:asciiTheme="majorBidi" w:hAnsiTheme="majorBidi" w:cstheme="majorBidi"/>
          <w:sz w:val="24"/>
          <w:szCs w:val="24"/>
        </w:rPr>
        <w:t>2</w:t>
      </w:r>
      <w:r w:rsidR="00E570EA">
        <w:rPr>
          <w:rFonts w:asciiTheme="majorBidi" w:hAnsiTheme="majorBidi" w:cstheme="majorBidi"/>
          <w:sz w:val="24"/>
          <w:szCs w:val="24"/>
        </w:rPr>
        <w:t>6</w:t>
      </w:r>
      <w:r w:rsidR="00A72D23">
        <w:rPr>
          <w:rFonts w:asciiTheme="majorBidi" w:hAnsiTheme="majorBidi" w:cstheme="majorBidi"/>
          <w:sz w:val="24"/>
          <w:szCs w:val="24"/>
        </w:rPr>
        <w:t xml:space="preserve"> octobre</w:t>
      </w:r>
      <w:r w:rsidR="00F57F65" w:rsidRPr="001D4542">
        <w:rPr>
          <w:rFonts w:asciiTheme="majorBidi" w:hAnsiTheme="majorBidi" w:cstheme="majorBidi"/>
          <w:sz w:val="24"/>
          <w:szCs w:val="24"/>
        </w:rPr>
        <w:t xml:space="preserve"> 202</w:t>
      </w:r>
      <w:r w:rsidR="00A72D23">
        <w:rPr>
          <w:rFonts w:asciiTheme="majorBidi" w:hAnsiTheme="majorBidi" w:cstheme="majorBidi"/>
          <w:sz w:val="24"/>
          <w:szCs w:val="24"/>
        </w:rPr>
        <w:t>3</w:t>
      </w:r>
    </w:p>
    <w:p w14:paraId="7F229ED0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6E338C84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4AA2A701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029FF9AD" w14:textId="2630717A" w:rsidR="00FF7C4B" w:rsidRPr="001D4542" w:rsidRDefault="00FF7C4B" w:rsidP="00FF7C4B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 w:rsidRPr="007A4FAD">
        <w:rPr>
          <w:rFonts w:asciiTheme="majorBidi" w:eastAsia="Times New Roman" w:hAnsiTheme="majorBidi" w:cstheme="majorBidi"/>
          <w:lang w:eastAsia="fr-FR"/>
        </w:rPr>
        <w:t xml:space="preserve">La publication du présent avis est effectué en application de </w:t>
      </w:r>
      <w:r>
        <w:rPr>
          <w:rFonts w:asciiTheme="majorBidi" w:eastAsia="Times New Roman" w:hAnsiTheme="majorBidi" w:cstheme="majorBidi"/>
          <w:lang w:eastAsia="fr-FR"/>
        </w:rPr>
        <w:t xml:space="preserve">la </w:t>
      </w:r>
      <w:r w:rsidRPr="007A4FAD">
        <w:rPr>
          <w:rFonts w:asciiTheme="majorBidi" w:eastAsia="Times New Roman" w:hAnsiTheme="majorBidi" w:cstheme="majorBidi"/>
          <w:lang w:eastAsia="fr-FR"/>
        </w:rPr>
        <w:t xml:space="preserve">règlementation en vigueur. Elle ouvre le recours auprès de la Commission de Règlement des Différends de l'Autorité de Régulation des Marchés </w:t>
      </w:r>
      <w:r>
        <w:rPr>
          <w:rFonts w:asciiTheme="majorBidi" w:eastAsia="Times New Roman" w:hAnsiTheme="majorBidi" w:cstheme="majorBidi"/>
          <w:lang w:eastAsia="fr-FR"/>
        </w:rPr>
        <w:t>P</w:t>
      </w:r>
      <w:r w:rsidRPr="007A4FAD">
        <w:rPr>
          <w:rFonts w:asciiTheme="majorBidi" w:eastAsia="Times New Roman" w:hAnsiTheme="majorBidi" w:cstheme="majorBidi"/>
          <w:lang w:eastAsia="fr-FR"/>
        </w:rPr>
        <w:t>ublics</w:t>
      </w:r>
      <w:r>
        <w:rPr>
          <w:rFonts w:asciiTheme="majorBidi" w:eastAsia="Times New Roman" w:hAnsiTheme="majorBidi" w:cstheme="majorBidi"/>
          <w:lang w:eastAsia="fr-FR"/>
        </w:rPr>
        <w:t xml:space="preserve"> (ARMP)</w:t>
      </w:r>
      <w:r w:rsidRPr="007A4FAD">
        <w:rPr>
          <w:rFonts w:asciiTheme="majorBidi" w:eastAsia="Times New Roman" w:hAnsiTheme="majorBidi" w:cstheme="majorBidi"/>
          <w:lang w:eastAsia="fr-FR"/>
        </w:rPr>
        <w:t xml:space="preserve">, en vertu </w:t>
      </w:r>
      <w:r>
        <w:rPr>
          <w:rFonts w:asciiTheme="majorBidi" w:eastAsia="Times New Roman" w:hAnsiTheme="majorBidi" w:cstheme="majorBidi"/>
          <w:lang w:eastAsia="fr-FR"/>
        </w:rPr>
        <w:t>du Code des Marchés P</w:t>
      </w:r>
      <w:r w:rsidRPr="007A4FAD">
        <w:rPr>
          <w:rFonts w:asciiTheme="majorBidi" w:eastAsia="Times New Roman" w:hAnsiTheme="majorBidi" w:cstheme="majorBidi"/>
          <w:lang w:eastAsia="fr-FR"/>
        </w:rPr>
        <w:t>ublics</w:t>
      </w:r>
      <w:r>
        <w:rPr>
          <w:rFonts w:asciiTheme="majorBidi" w:eastAsia="Times New Roman" w:hAnsiTheme="majorBidi" w:cstheme="majorBidi"/>
          <w:lang w:eastAsia="fr-FR"/>
        </w:rPr>
        <w:t xml:space="preserve">. </w:t>
      </w:r>
    </w:p>
    <w:p w14:paraId="5CED9F5D" w14:textId="4E3A2522" w:rsidR="00EF1F0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27AF678A" w14:textId="77777777" w:rsidR="00FF7C4B" w:rsidRPr="001D4542" w:rsidRDefault="00FF7C4B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3D12AE8A" w14:textId="2386B989" w:rsidR="00A72D23" w:rsidRPr="00A72D23" w:rsidRDefault="00A72D23" w:rsidP="00A72D23">
      <w:pPr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A72D23">
        <w:rPr>
          <w:rFonts w:asciiTheme="majorBidi" w:hAnsiTheme="majorBidi" w:cstheme="majorBidi"/>
          <w:b/>
          <w:bCs/>
          <w:caps/>
          <w:sz w:val="24"/>
          <w:szCs w:val="24"/>
        </w:rPr>
        <w:t>LE PRESIDENT DE LA COMMISSION DES ACHATD D’EXPLOITATION</w:t>
      </w:r>
    </w:p>
    <w:p w14:paraId="10BEBEF3" w14:textId="0DF5A34F" w:rsidR="00A72D23" w:rsidRPr="00A72D23" w:rsidRDefault="00A72D23" w:rsidP="00A72D23">
      <w:pPr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A72D23">
        <w:rPr>
          <w:rFonts w:asciiTheme="majorBidi" w:hAnsiTheme="majorBidi" w:cstheme="majorBidi"/>
          <w:b/>
          <w:bCs/>
          <w:caps/>
          <w:sz w:val="24"/>
          <w:szCs w:val="24"/>
        </w:rPr>
        <w:t>Cheikh Abdellahi BEDDA</w:t>
      </w:r>
    </w:p>
    <w:p w14:paraId="5754B394" w14:textId="77777777" w:rsidR="007D3E4E" w:rsidRPr="00425129" w:rsidRDefault="007D3E4E">
      <w:pPr>
        <w:rPr>
          <w:rFonts w:asciiTheme="majorBidi" w:hAnsiTheme="majorBidi" w:cstheme="majorBidi"/>
        </w:rPr>
      </w:pPr>
    </w:p>
    <w:p w14:paraId="677A13FF" w14:textId="77777777" w:rsidR="009B5D62" w:rsidRPr="00425129" w:rsidRDefault="009B5D62">
      <w:pPr>
        <w:rPr>
          <w:rFonts w:asciiTheme="majorBidi" w:hAnsiTheme="majorBidi" w:cstheme="majorBidi"/>
        </w:rPr>
      </w:pPr>
    </w:p>
    <w:p w14:paraId="21E53BB4" w14:textId="77777777" w:rsidR="009B5D62" w:rsidRPr="00425129" w:rsidRDefault="009B5D62">
      <w:pPr>
        <w:rPr>
          <w:rFonts w:asciiTheme="majorBidi" w:hAnsiTheme="majorBidi" w:cstheme="majorBidi"/>
        </w:rPr>
      </w:pPr>
    </w:p>
    <w:sectPr w:rsidR="009B5D62" w:rsidRPr="00425129" w:rsidSect="007D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F230C" w14:textId="77777777" w:rsidR="00823E3C" w:rsidRDefault="00823E3C" w:rsidP="00CC3AA2">
      <w:pPr>
        <w:spacing w:after="0" w:line="240" w:lineRule="auto"/>
      </w:pPr>
      <w:r>
        <w:separator/>
      </w:r>
    </w:p>
  </w:endnote>
  <w:endnote w:type="continuationSeparator" w:id="0">
    <w:p w14:paraId="5D688E0E" w14:textId="77777777" w:rsidR="00823E3C" w:rsidRDefault="00823E3C" w:rsidP="00CC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869AB" w14:textId="77777777" w:rsidR="00823E3C" w:rsidRDefault="00823E3C" w:rsidP="00CC3AA2">
      <w:pPr>
        <w:spacing w:after="0" w:line="240" w:lineRule="auto"/>
      </w:pPr>
      <w:r>
        <w:separator/>
      </w:r>
    </w:p>
  </w:footnote>
  <w:footnote w:type="continuationSeparator" w:id="0">
    <w:p w14:paraId="0E062CE5" w14:textId="77777777" w:rsidR="00823E3C" w:rsidRDefault="00823E3C" w:rsidP="00CC3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BF"/>
    <w:rsid w:val="000174EC"/>
    <w:rsid w:val="00041531"/>
    <w:rsid w:val="000C4570"/>
    <w:rsid w:val="001261AD"/>
    <w:rsid w:val="001D4542"/>
    <w:rsid w:val="001E1392"/>
    <w:rsid w:val="00252D0F"/>
    <w:rsid w:val="00261718"/>
    <w:rsid w:val="002969CF"/>
    <w:rsid w:val="002B0755"/>
    <w:rsid w:val="002B0B87"/>
    <w:rsid w:val="0030347F"/>
    <w:rsid w:val="0034725C"/>
    <w:rsid w:val="00347D8D"/>
    <w:rsid w:val="0037293C"/>
    <w:rsid w:val="00390D1A"/>
    <w:rsid w:val="003A11E3"/>
    <w:rsid w:val="0041527C"/>
    <w:rsid w:val="00425129"/>
    <w:rsid w:val="004E7A5E"/>
    <w:rsid w:val="00514C13"/>
    <w:rsid w:val="005616CA"/>
    <w:rsid w:val="005669A2"/>
    <w:rsid w:val="00594B22"/>
    <w:rsid w:val="005A6FDD"/>
    <w:rsid w:val="005F0874"/>
    <w:rsid w:val="005F61AC"/>
    <w:rsid w:val="00633BC2"/>
    <w:rsid w:val="00633EB8"/>
    <w:rsid w:val="006C3573"/>
    <w:rsid w:val="006D7AD8"/>
    <w:rsid w:val="00720334"/>
    <w:rsid w:val="00721EDC"/>
    <w:rsid w:val="00727AAC"/>
    <w:rsid w:val="0073730D"/>
    <w:rsid w:val="00737580"/>
    <w:rsid w:val="0078441F"/>
    <w:rsid w:val="007D3E4E"/>
    <w:rsid w:val="00823E3C"/>
    <w:rsid w:val="00845472"/>
    <w:rsid w:val="00863AAA"/>
    <w:rsid w:val="008D329B"/>
    <w:rsid w:val="009909BB"/>
    <w:rsid w:val="00997B80"/>
    <w:rsid w:val="009A2D1F"/>
    <w:rsid w:val="009B5D62"/>
    <w:rsid w:val="009E052D"/>
    <w:rsid w:val="009E6116"/>
    <w:rsid w:val="00A10ACA"/>
    <w:rsid w:val="00A62AEA"/>
    <w:rsid w:val="00A72D23"/>
    <w:rsid w:val="00A74A80"/>
    <w:rsid w:val="00A81F09"/>
    <w:rsid w:val="00A92EE7"/>
    <w:rsid w:val="00AB4780"/>
    <w:rsid w:val="00AB7A92"/>
    <w:rsid w:val="00AD113D"/>
    <w:rsid w:val="00B92A0C"/>
    <w:rsid w:val="00BE737E"/>
    <w:rsid w:val="00C14867"/>
    <w:rsid w:val="00C17449"/>
    <w:rsid w:val="00CC3AA2"/>
    <w:rsid w:val="00CD4DB9"/>
    <w:rsid w:val="00CF6B73"/>
    <w:rsid w:val="00D73AE8"/>
    <w:rsid w:val="00DD34EF"/>
    <w:rsid w:val="00E12A3E"/>
    <w:rsid w:val="00E2559F"/>
    <w:rsid w:val="00E34089"/>
    <w:rsid w:val="00E36BB8"/>
    <w:rsid w:val="00E570EA"/>
    <w:rsid w:val="00E87C33"/>
    <w:rsid w:val="00E93CBF"/>
    <w:rsid w:val="00EA5F95"/>
    <w:rsid w:val="00EA70F6"/>
    <w:rsid w:val="00EF1F02"/>
    <w:rsid w:val="00F27B82"/>
    <w:rsid w:val="00F57891"/>
    <w:rsid w:val="00F57F65"/>
    <w:rsid w:val="00FD4F1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2ACF"/>
  <w15:docId w15:val="{FB783991-1557-42AA-BAF7-2EF2F199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1">
    <w:name w:val="Document 1"/>
    <w:rsid w:val="00E93CBF"/>
    <w:pPr>
      <w:keepNext/>
      <w:keepLines/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sinterligne">
    <w:name w:val="No Spacing"/>
    <w:uiPriority w:val="1"/>
    <w:qFormat/>
    <w:rsid w:val="00E93CBF"/>
    <w:pPr>
      <w:spacing w:after="0" w:line="240" w:lineRule="auto"/>
    </w:pPr>
  </w:style>
  <w:style w:type="paragraph" w:customStyle="1" w:styleId="Default">
    <w:name w:val="Default"/>
    <w:rsid w:val="00425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F7C4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7C4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C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AA2"/>
  </w:style>
  <w:style w:type="paragraph" w:styleId="Pieddepage">
    <w:name w:val="footer"/>
    <w:basedOn w:val="Normal"/>
    <w:link w:val="PieddepageCar"/>
    <w:uiPriority w:val="99"/>
    <w:unhideWhenUsed/>
    <w:rsid w:val="00CC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AA2"/>
  </w:style>
  <w:style w:type="character" w:customStyle="1" w:styleId="UnresolvedMention">
    <w:name w:val="Unresolved Mention"/>
    <w:basedOn w:val="Policepardfaut"/>
    <w:uiPriority w:val="99"/>
    <w:semiHidden/>
    <w:unhideWhenUsed/>
    <w:rsid w:val="00B92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phoenix-ci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mts</dc:creator>
  <cp:lastModifiedBy>Lenovo</cp:lastModifiedBy>
  <cp:revision>2</cp:revision>
  <cp:lastPrinted>2022-01-26T23:17:00Z</cp:lastPrinted>
  <dcterms:created xsi:type="dcterms:W3CDTF">2023-10-27T09:50:00Z</dcterms:created>
  <dcterms:modified xsi:type="dcterms:W3CDTF">2023-10-27T09:50:00Z</dcterms:modified>
</cp:coreProperties>
</file>