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95C" w:rsidRPr="00DF4B74" w:rsidRDefault="00AA595C" w:rsidP="00AA595C">
      <w:pPr>
        <w:spacing w:before="79"/>
        <w:rPr>
          <w:b/>
          <w:sz w:val="40"/>
        </w:rPr>
      </w:pPr>
      <w:r w:rsidRPr="00DF4B74">
        <w:rPr>
          <w:b/>
          <w:sz w:val="40"/>
        </w:rPr>
        <w:t>REPUBLIQUE</w:t>
      </w:r>
      <w:r w:rsidRPr="00DF4B74">
        <w:rPr>
          <w:b/>
          <w:spacing w:val="-4"/>
          <w:sz w:val="40"/>
        </w:rPr>
        <w:t xml:space="preserve"> </w:t>
      </w:r>
      <w:r w:rsidRPr="00DF4B74">
        <w:rPr>
          <w:b/>
          <w:sz w:val="40"/>
        </w:rPr>
        <w:t>ISLAMIQUE</w:t>
      </w:r>
      <w:r w:rsidRPr="00DF4B74">
        <w:rPr>
          <w:b/>
          <w:spacing w:val="-4"/>
          <w:sz w:val="40"/>
        </w:rPr>
        <w:t xml:space="preserve"> </w:t>
      </w:r>
      <w:r w:rsidRPr="00DF4B74">
        <w:rPr>
          <w:b/>
          <w:sz w:val="40"/>
        </w:rPr>
        <w:t>DE</w:t>
      </w:r>
      <w:r w:rsidRPr="00DF4B74">
        <w:rPr>
          <w:b/>
          <w:spacing w:val="-4"/>
          <w:sz w:val="40"/>
        </w:rPr>
        <w:t xml:space="preserve"> </w:t>
      </w:r>
      <w:r w:rsidRPr="00DF4B74">
        <w:rPr>
          <w:b/>
          <w:sz w:val="40"/>
        </w:rPr>
        <w:t>MAURITANIE</w:t>
      </w:r>
    </w:p>
    <w:p w:rsidR="00AA595C" w:rsidRPr="00DF4B74" w:rsidRDefault="00AA595C" w:rsidP="00AA595C">
      <w:pPr>
        <w:ind w:left="340" w:right="132"/>
        <w:jc w:val="center"/>
        <w:rPr>
          <w:sz w:val="28"/>
        </w:rPr>
      </w:pPr>
      <w:r>
        <w:rPr>
          <w:sz w:val="28"/>
        </w:rPr>
        <w:t xml:space="preserve">         </w:t>
      </w:r>
      <w:r w:rsidRPr="00DF4B74">
        <w:rPr>
          <w:sz w:val="28"/>
        </w:rPr>
        <w:t>Honneur</w:t>
      </w:r>
      <w:r w:rsidRPr="00DF4B74">
        <w:rPr>
          <w:spacing w:val="-3"/>
          <w:sz w:val="28"/>
        </w:rPr>
        <w:t xml:space="preserve"> </w:t>
      </w:r>
      <w:r w:rsidRPr="00DF4B74">
        <w:rPr>
          <w:sz w:val="28"/>
        </w:rPr>
        <w:t>–</w:t>
      </w:r>
      <w:r w:rsidRPr="00DF4B74">
        <w:rPr>
          <w:spacing w:val="-3"/>
          <w:sz w:val="28"/>
        </w:rPr>
        <w:t xml:space="preserve"> </w:t>
      </w:r>
      <w:r w:rsidRPr="00DF4B74">
        <w:rPr>
          <w:sz w:val="28"/>
        </w:rPr>
        <w:t>Fraternité</w:t>
      </w:r>
      <w:r w:rsidRPr="00DF4B74">
        <w:rPr>
          <w:spacing w:val="-4"/>
          <w:sz w:val="28"/>
        </w:rPr>
        <w:t xml:space="preserve"> </w:t>
      </w:r>
      <w:r w:rsidRPr="00DF4B74">
        <w:rPr>
          <w:sz w:val="28"/>
        </w:rPr>
        <w:t>–</w:t>
      </w:r>
      <w:r w:rsidRPr="00DF4B74">
        <w:rPr>
          <w:spacing w:val="-3"/>
          <w:sz w:val="28"/>
        </w:rPr>
        <w:t xml:space="preserve"> </w:t>
      </w:r>
      <w:r w:rsidRPr="00DF4B74">
        <w:rPr>
          <w:sz w:val="28"/>
        </w:rPr>
        <w:t>Justice</w:t>
      </w:r>
    </w:p>
    <w:p w:rsidR="00AA595C" w:rsidRDefault="00AA595C" w:rsidP="00AA595C">
      <w:pPr>
        <w:pStyle w:val="Corpsdetexte"/>
        <w:rPr>
          <w:sz w:val="20"/>
        </w:rPr>
      </w:pPr>
    </w:p>
    <w:p w:rsidR="00AA595C" w:rsidRDefault="00AA595C" w:rsidP="00AA595C">
      <w:pPr>
        <w:pStyle w:val="Corpsdetexte"/>
        <w:rPr>
          <w:sz w:val="20"/>
        </w:rPr>
      </w:pPr>
      <w:r>
        <w:rPr>
          <w:noProof/>
          <w:sz w:val="20"/>
        </w:rPr>
        <w:t xml:space="preserve">                                                                        </w:t>
      </w:r>
      <w:r>
        <w:rPr>
          <w:noProof/>
          <w:sz w:val="20"/>
        </w:rPr>
        <w:drawing>
          <wp:inline distT="0" distB="0" distL="0" distR="0" wp14:anchorId="08436C04" wp14:editId="1D937899">
            <wp:extent cx="1552575" cy="11525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1552575" cy="1152525"/>
                    </a:xfrm>
                    <a:prstGeom prst="rect">
                      <a:avLst/>
                    </a:prstGeom>
                    <a:noFill/>
                    <a:ln w="9525">
                      <a:noFill/>
                      <a:miter lim="800000"/>
                      <a:headEnd/>
                      <a:tailEnd/>
                    </a:ln>
                  </pic:spPr>
                </pic:pic>
              </a:graphicData>
            </a:graphic>
          </wp:inline>
        </w:drawing>
      </w:r>
      <w:r>
        <w:rPr>
          <w:noProof/>
          <w:sz w:val="20"/>
        </w:rPr>
        <w:t xml:space="preserve">   </w:t>
      </w:r>
    </w:p>
    <w:p w:rsidR="00AA595C" w:rsidRDefault="00AA595C" w:rsidP="00AA595C">
      <w:pPr>
        <w:pStyle w:val="Corpsdetexte"/>
        <w:rPr>
          <w:sz w:val="20"/>
        </w:rPr>
      </w:pPr>
    </w:p>
    <w:p w:rsidR="00AA595C" w:rsidRPr="00DF4B74" w:rsidRDefault="00AA595C" w:rsidP="00AA595C">
      <w:pPr>
        <w:pStyle w:val="Corpsdetexte"/>
        <w:rPr>
          <w:b/>
          <w:sz w:val="40"/>
        </w:rPr>
      </w:pPr>
      <w:r>
        <w:rPr>
          <w:sz w:val="20"/>
        </w:rPr>
        <w:t xml:space="preserve"> </w:t>
      </w:r>
      <w:r w:rsidRPr="00DF4B74">
        <w:rPr>
          <w:b/>
          <w:sz w:val="40"/>
        </w:rPr>
        <w:t>Ministère</w:t>
      </w:r>
      <w:r w:rsidRPr="00DF4B74">
        <w:rPr>
          <w:b/>
          <w:spacing w:val="-5"/>
          <w:sz w:val="40"/>
        </w:rPr>
        <w:t xml:space="preserve"> </w:t>
      </w:r>
      <w:r w:rsidRPr="00DF4B74">
        <w:rPr>
          <w:b/>
          <w:sz w:val="40"/>
        </w:rPr>
        <w:t>du</w:t>
      </w:r>
      <w:r w:rsidRPr="00DF4B74">
        <w:rPr>
          <w:b/>
          <w:spacing w:val="-3"/>
          <w:sz w:val="40"/>
        </w:rPr>
        <w:t xml:space="preserve"> </w:t>
      </w:r>
      <w:r w:rsidRPr="00DF4B74">
        <w:rPr>
          <w:b/>
          <w:sz w:val="40"/>
        </w:rPr>
        <w:t>Pétrole,</w:t>
      </w:r>
      <w:r w:rsidRPr="00DF4B74">
        <w:rPr>
          <w:b/>
          <w:spacing w:val="-6"/>
          <w:sz w:val="40"/>
        </w:rPr>
        <w:t xml:space="preserve"> </w:t>
      </w:r>
      <w:r w:rsidRPr="00DF4B74">
        <w:rPr>
          <w:b/>
          <w:sz w:val="40"/>
        </w:rPr>
        <w:t>des</w:t>
      </w:r>
      <w:r w:rsidRPr="00DF4B74">
        <w:rPr>
          <w:b/>
          <w:spacing w:val="3"/>
          <w:sz w:val="40"/>
        </w:rPr>
        <w:t xml:space="preserve"> </w:t>
      </w:r>
      <w:r w:rsidRPr="00DF4B74">
        <w:rPr>
          <w:b/>
          <w:sz w:val="40"/>
        </w:rPr>
        <w:t>Mines</w:t>
      </w:r>
      <w:r w:rsidRPr="00DF4B74">
        <w:rPr>
          <w:b/>
          <w:spacing w:val="-2"/>
          <w:sz w:val="40"/>
        </w:rPr>
        <w:t xml:space="preserve"> </w:t>
      </w:r>
      <w:r w:rsidRPr="00DF4B74">
        <w:rPr>
          <w:b/>
          <w:sz w:val="40"/>
        </w:rPr>
        <w:t>et</w:t>
      </w:r>
      <w:r w:rsidRPr="00DF4B74">
        <w:rPr>
          <w:b/>
          <w:spacing w:val="-11"/>
          <w:sz w:val="40"/>
        </w:rPr>
        <w:t xml:space="preserve"> </w:t>
      </w:r>
      <w:r w:rsidRPr="00DF4B74">
        <w:rPr>
          <w:b/>
          <w:sz w:val="40"/>
        </w:rPr>
        <w:t>de</w:t>
      </w:r>
      <w:r w:rsidRPr="00DF4B74">
        <w:rPr>
          <w:b/>
          <w:spacing w:val="-5"/>
          <w:sz w:val="40"/>
        </w:rPr>
        <w:t xml:space="preserve"> </w:t>
      </w:r>
      <w:r w:rsidRPr="00DF4B74">
        <w:rPr>
          <w:b/>
          <w:sz w:val="40"/>
        </w:rPr>
        <w:t>l’Energie</w:t>
      </w:r>
      <w:r w:rsidRPr="00DF4B74">
        <w:rPr>
          <w:b/>
          <w:spacing w:val="-85"/>
          <w:sz w:val="40"/>
        </w:rPr>
        <w:t xml:space="preserve"> </w:t>
      </w:r>
      <w:r>
        <w:rPr>
          <w:b/>
          <w:spacing w:val="-85"/>
          <w:sz w:val="40"/>
        </w:rPr>
        <w:t xml:space="preserve">                     </w:t>
      </w:r>
      <w:r w:rsidRPr="00DF4B74">
        <w:rPr>
          <w:b/>
          <w:sz w:val="40"/>
        </w:rPr>
        <w:t>Société</w:t>
      </w:r>
      <w:r w:rsidRPr="00DF4B74">
        <w:rPr>
          <w:b/>
          <w:spacing w:val="1"/>
          <w:sz w:val="40"/>
        </w:rPr>
        <w:t xml:space="preserve"> </w:t>
      </w:r>
      <w:r w:rsidRPr="00DF4B74">
        <w:rPr>
          <w:b/>
          <w:sz w:val="40"/>
        </w:rPr>
        <w:t>Mauritanienne</w:t>
      </w:r>
      <w:r w:rsidRPr="00DF4B74">
        <w:rPr>
          <w:b/>
          <w:spacing w:val="-3"/>
          <w:sz w:val="40"/>
        </w:rPr>
        <w:t xml:space="preserve"> </w:t>
      </w:r>
      <w:r w:rsidRPr="00DF4B74">
        <w:rPr>
          <w:b/>
          <w:sz w:val="40"/>
        </w:rPr>
        <w:t>d’Electricité</w:t>
      </w:r>
    </w:p>
    <w:p w:rsidR="00AA595C" w:rsidRPr="00DF4B74" w:rsidRDefault="00AA595C" w:rsidP="00AA595C">
      <w:pPr>
        <w:pStyle w:val="Corpsdetexte"/>
        <w:rPr>
          <w:b/>
          <w:sz w:val="20"/>
        </w:rPr>
      </w:pPr>
    </w:p>
    <w:p w:rsidR="00AA595C" w:rsidRPr="00DF4B74" w:rsidRDefault="00AA595C" w:rsidP="00AA595C">
      <w:pPr>
        <w:pStyle w:val="Corpsdetexte"/>
        <w:spacing w:before="2"/>
        <w:rPr>
          <w:b/>
          <w:sz w:val="19"/>
        </w:rPr>
      </w:pPr>
      <w:r>
        <w:rPr>
          <w:noProof/>
        </w:rPr>
        <w:drawing>
          <wp:anchor distT="0" distB="0" distL="0" distR="0" simplePos="0" relativeHeight="251659264" behindDoc="0" locked="0" layoutInCell="1" allowOverlap="1" wp14:anchorId="61BE420E" wp14:editId="5AF8FD7C">
            <wp:simplePos x="0" y="0"/>
            <wp:positionH relativeFrom="page">
              <wp:posOffset>3386455</wp:posOffset>
            </wp:positionH>
            <wp:positionV relativeFrom="paragraph">
              <wp:posOffset>158115</wp:posOffset>
            </wp:positionV>
            <wp:extent cx="843915" cy="727075"/>
            <wp:effectExtent l="19050" t="0" r="0" b="0"/>
            <wp:wrapTopAndBottom/>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cstate="print"/>
                    <a:srcRect/>
                    <a:stretch>
                      <a:fillRect/>
                    </a:stretch>
                  </pic:blipFill>
                  <pic:spPr bwMode="auto">
                    <a:xfrm>
                      <a:off x="0" y="0"/>
                      <a:ext cx="843915" cy="727075"/>
                    </a:xfrm>
                    <a:prstGeom prst="rect">
                      <a:avLst/>
                    </a:prstGeom>
                    <a:noFill/>
                    <a:ln w="9525">
                      <a:noFill/>
                      <a:miter lim="800000"/>
                      <a:headEnd/>
                      <a:tailEnd/>
                    </a:ln>
                  </pic:spPr>
                </pic:pic>
              </a:graphicData>
            </a:graphic>
          </wp:anchor>
        </w:drawing>
      </w:r>
    </w:p>
    <w:p w:rsidR="00AA595C" w:rsidRPr="00DF4B74" w:rsidRDefault="00AA595C" w:rsidP="00AA595C">
      <w:pPr>
        <w:spacing w:before="256"/>
        <w:ind w:left="1634"/>
        <w:rPr>
          <w:b/>
          <w:sz w:val="40"/>
        </w:rPr>
      </w:pPr>
      <w:r w:rsidRPr="00DF4B74">
        <w:rPr>
          <w:b/>
          <w:sz w:val="40"/>
        </w:rPr>
        <w:t>DOSSIER</w:t>
      </w:r>
      <w:r w:rsidRPr="00DF4B74">
        <w:rPr>
          <w:b/>
          <w:spacing w:val="-1"/>
          <w:sz w:val="40"/>
        </w:rPr>
        <w:t xml:space="preserve"> </w:t>
      </w:r>
      <w:r w:rsidRPr="00DF4B74">
        <w:rPr>
          <w:b/>
          <w:sz w:val="40"/>
        </w:rPr>
        <w:t>D’APPEL</w:t>
      </w:r>
      <w:r w:rsidRPr="00DF4B74">
        <w:rPr>
          <w:b/>
          <w:spacing w:val="1"/>
          <w:sz w:val="40"/>
        </w:rPr>
        <w:t xml:space="preserve"> </w:t>
      </w:r>
      <w:r w:rsidRPr="00DF4B74">
        <w:rPr>
          <w:b/>
          <w:sz w:val="40"/>
        </w:rPr>
        <w:t>D</w:t>
      </w:r>
      <w:r w:rsidRPr="00DF4B74">
        <w:rPr>
          <w:b/>
          <w:spacing w:val="-5"/>
          <w:sz w:val="40"/>
        </w:rPr>
        <w:t xml:space="preserve"> </w:t>
      </w:r>
      <w:r w:rsidRPr="00DF4B74">
        <w:rPr>
          <w:b/>
          <w:sz w:val="40"/>
        </w:rPr>
        <w:t>’OFFRES</w:t>
      </w:r>
      <w:r w:rsidRPr="00DF4B74">
        <w:rPr>
          <w:b/>
          <w:spacing w:val="-4"/>
          <w:sz w:val="40"/>
        </w:rPr>
        <w:t xml:space="preserve"> </w:t>
      </w:r>
      <w:r w:rsidRPr="00DF4B74">
        <w:rPr>
          <w:b/>
          <w:sz w:val="40"/>
        </w:rPr>
        <w:t>OUVERT</w:t>
      </w:r>
    </w:p>
    <w:p w:rsidR="00AA595C" w:rsidRDefault="00AA595C" w:rsidP="00AA595C">
      <w:pPr>
        <w:spacing w:before="271" w:line="276" w:lineRule="auto"/>
        <w:ind w:left="993" w:right="1306" w:firstLine="8"/>
        <w:jc w:val="center"/>
        <w:rPr>
          <w:rFonts w:ascii="Calibri" w:eastAsia="Calibri" w:hAnsi="Calibri" w:cs="Arial"/>
          <w:b/>
          <w:bCs/>
          <w:color w:val="002060"/>
          <w:sz w:val="32"/>
          <w:szCs w:val="32"/>
          <w:lang w:eastAsia="en-US"/>
        </w:rPr>
      </w:pPr>
      <w:r w:rsidRPr="00DF2068">
        <w:rPr>
          <w:rFonts w:ascii="Calibri" w:eastAsia="Calibri" w:hAnsi="Calibri" w:cs="Arial"/>
          <w:b/>
          <w:bCs/>
          <w:color w:val="002060"/>
          <w:sz w:val="28"/>
          <w:szCs w:val="28"/>
          <w:lang w:eastAsia="en-US"/>
        </w:rPr>
        <w:t xml:space="preserve">POUR LA FOURNITURE DU MATERIEL ET L’EXECUTION DES TRAVAUX COMPLEMENTAIRES DANS LE CADRE </w:t>
      </w:r>
      <w:bookmarkStart w:id="0" w:name="_Hlk123636836"/>
      <w:r w:rsidRPr="00DF2068">
        <w:rPr>
          <w:rFonts w:ascii="Calibri" w:eastAsia="Calibri" w:hAnsi="Calibri" w:cs="Arial"/>
          <w:b/>
          <w:bCs/>
          <w:color w:val="002060"/>
          <w:sz w:val="28"/>
          <w:szCs w:val="28"/>
          <w:lang w:eastAsia="en-US"/>
        </w:rPr>
        <w:t xml:space="preserve">DE LA PHASE PILOTE DU MARCHE N° 14/CAE/2022 </w:t>
      </w:r>
      <w:bookmarkEnd w:id="0"/>
      <w:r w:rsidRPr="00DF2068">
        <w:rPr>
          <w:rFonts w:ascii="Calibri" w:eastAsia="Calibri" w:hAnsi="Calibri" w:cs="Arial"/>
          <w:b/>
          <w:bCs/>
          <w:color w:val="002060"/>
          <w:sz w:val="28"/>
          <w:szCs w:val="28"/>
          <w:lang w:eastAsia="en-US"/>
        </w:rPr>
        <w:t>POUR LA REALISATION D’UNE PLATEFORME PILOTE DE SUPERVISION DE COMPTEURS INTELLIGENTS ET ACQUISITION DE 350.000 COMPTEURS INTELLIGENTS BASSE TENSION DONT UNE PHASE PILOTE DE 15.000 COMPTEURS</w:t>
      </w:r>
    </w:p>
    <w:p w:rsidR="00AA595C" w:rsidRDefault="00AA595C" w:rsidP="00AA595C">
      <w:pPr>
        <w:spacing w:before="271" w:line="448" w:lineRule="auto"/>
        <w:ind w:left="993" w:right="1306" w:firstLine="8"/>
        <w:jc w:val="center"/>
        <w:rPr>
          <w:spacing w:val="1"/>
          <w:sz w:val="40"/>
        </w:rPr>
      </w:pPr>
      <w:r w:rsidRPr="00DF4B74">
        <w:rPr>
          <w:b/>
          <w:sz w:val="40"/>
        </w:rPr>
        <w:t xml:space="preserve">Appel d’Offres N° </w:t>
      </w:r>
      <w:r w:rsidRPr="00EC0A36">
        <w:rPr>
          <w:b/>
          <w:sz w:val="40"/>
        </w:rPr>
        <w:t>:</w:t>
      </w:r>
      <w:r w:rsidRPr="00EC0A36">
        <w:rPr>
          <w:b/>
          <w:spacing w:val="1"/>
          <w:sz w:val="40"/>
        </w:rPr>
        <w:t xml:space="preserve"> </w:t>
      </w:r>
      <w:r w:rsidRPr="00531B60">
        <w:rPr>
          <w:b/>
          <w:spacing w:val="1"/>
          <w:sz w:val="40"/>
        </w:rPr>
        <w:t>02/</w:t>
      </w:r>
      <w:r w:rsidRPr="00531B60">
        <w:rPr>
          <w:b/>
          <w:sz w:val="40"/>
        </w:rPr>
        <w:t>CAE/2023</w:t>
      </w:r>
      <w:r w:rsidRPr="00DF4B74">
        <w:rPr>
          <w:spacing w:val="1"/>
          <w:sz w:val="40"/>
        </w:rPr>
        <w:t xml:space="preserve"> </w:t>
      </w:r>
    </w:p>
    <w:p w:rsidR="00AA595C" w:rsidRDefault="00AA595C" w:rsidP="00AA595C">
      <w:pPr>
        <w:spacing w:before="271" w:line="448" w:lineRule="auto"/>
        <w:ind w:left="993" w:right="1306" w:firstLine="8"/>
        <w:jc w:val="center"/>
        <w:rPr>
          <w:b/>
          <w:spacing w:val="1"/>
          <w:sz w:val="40"/>
        </w:rPr>
      </w:pPr>
      <w:r w:rsidRPr="00DF4B74">
        <w:rPr>
          <w:sz w:val="40"/>
        </w:rPr>
        <w:t xml:space="preserve">Autorité contractante : </w:t>
      </w:r>
      <w:r w:rsidRPr="00DF4B74">
        <w:rPr>
          <w:b/>
          <w:sz w:val="40"/>
        </w:rPr>
        <w:t>SOMELEC</w:t>
      </w:r>
      <w:r w:rsidRPr="00DF4B74">
        <w:rPr>
          <w:b/>
          <w:spacing w:val="1"/>
          <w:sz w:val="40"/>
        </w:rPr>
        <w:t xml:space="preserve"> </w:t>
      </w:r>
    </w:p>
    <w:p w:rsidR="00AA595C" w:rsidRPr="00DF4B74" w:rsidRDefault="00AA595C" w:rsidP="00AA595C">
      <w:pPr>
        <w:spacing w:before="271" w:line="448" w:lineRule="auto"/>
        <w:ind w:left="993" w:right="1306" w:firstLine="8"/>
        <w:jc w:val="center"/>
        <w:rPr>
          <w:b/>
          <w:sz w:val="37"/>
        </w:rPr>
      </w:pPr>
      <w:r w:rsidRPr="00DF4B74">
        <w:rPr>
          <w:sz w:val="40"/>
        </w:rPr>
        <w:t>Source</w:t>
      </w:r>
      <w:r w:rsidRPr="00DF4B74">
        <w:rPr>
          <w:spacing w:val="-2"/>
          <w:sz w:val="40"/>
        </w:rPr>
        <w:t xml:space="preserve"> </w:t>
      </w:r>
      <w:r w:rsidRPr="00DF4B74">
        <w:rPr>
          <w:sz w:val="40"/>
        </w:rPr>
        <w:t>de</w:t>
      </w:r>
      <w:r w:rsidRPr="00DF4B74">
        <w:rPr>
          <w:spacing w:val="-6"/>
          <w:sz w:val="40"/>
        </w:rPr>
        <w:t xml:space="preserve"> </w:t>
      </w:r>
      <w:r w:rsidRPr="00DF4B74">
        <w:rPr>
          <w:sz w:val="40"/>
        </w:rPr>
        <w:t>financement</w:t>
      </w:r>
      <w:r w:rsidRPr="00DF4B74">
        <w:rPr>
          <w:spacing w:val="-4"/>
          <w:sz w:val="40"/>
        </w:rPr>
        <w:t xml:space="preserve"> </w:t>
      </w:r>
      <w:r w:rsidRPr="00DF4B74">
        <w:rPr>
          <w:sz w:val="40"/>
        </w:rPr>
        <w:t xml:space="preserve">: </w:t>
      </w:r>
      <w:r w:rsidRPr="00DF4B74">
        <w:rPr>
          <w:b/>
          <w:sz w:val="40"/>
        </w:rPr>
        <w:t>fonds</w:t>
      </w:r>
      <w:r w:rsidRPr="00DF4B74">
        <w:rPr>
          <w:b/>
          <w:spacing w:val="-5"/>
          <w:sz w:val="40"/>
        </w:rPr>
        <w:t xml:space="preserve"> </w:t>
      </w:r>
      <w:r w:rsidRPr="00DF4B74">
        <w:rPr>
          <w:b/>
          <w:sz w:val="40"/>
        </w:rPr>
        <w:t>propres</w:t>
      </w:r>
    </w:p>
    <w:p w:rsidR="00AA595C" w:rsidRPr="00DF4B74" w:rsidRDefault="00AA595C" w:rsidP="00AA595C">
      <w:pPr>
        <w:ind w:right="478"/>
        <w:jc w:val="right"/>
        <w:rPr>
          <w:sz w:val="28"/>
        </w:rPr>
      </w:pPr>
      <w:r>
        <w:rPr>
          <w:sz w:val="28"/>
        </w:rPr>
        <w:t>Janvier 2023</w:t>
      </w:r>
    </w:p>
    <w:p w:rsidR="00AA595C" w:rsidRDefault="00AA595C" w:rsidP="00AA595C">
      <w:pPr>
        <w:tabs>
          <w:tab w:val="left" w:pos="4567"/>
        </w:tabs>
        <w:kinsoku w:val="0"/>
        <w:ind w:right="20"/>
        <w:jc w:val="both"/>
        <w:rPr>
          <w:b/>
          <w:i/>
          <w:iCs/>
          <w:u w:val="single"/>
          <w:lang w:val="en-US"/>
        </w:rPr>
      </w:pPr>
      <w:r w:rsidRPr="005751A8">
        <w:rPr>
          <w:b/>
          <w:i/>
          <w:iCs/>
          <w:lang w:val="en-US"/>
        </w:rPr>
        <w:lastRenderedPageBreak/>
        <w:t xml:space="preserve">Avis </w:t>
      </w:r>
      <w:proofErr w:type="spellStart"/>
      <w:r w:rsidRPr="005751A8">
        <w:rPr>
          <w:b/>
          <w:i/>
          <w:iCs/>
          <w:lang w:val="en-US"/>
        </w:rPr>
        <w:t>d’appel</w:t>
      </w:r>
      <w:proofErr w:type="spellEnd"/>
      <w:r w:rsidRPr="005751A8">
        <w:rPr>
          <w:b/>
          <w:i/>
          <w:iCs/>
          <w:lang w:val="en-US"/>
        </w:rPr>
        <w:t xml:space="preserve"> </w:t>
      </w:r>
      <w:proofErr w:type="spellStart"/>
      <w:r w:rsidRPr="005751A8">
        <w:rPr>
          <w:b/>
          <w:i/>
          <w:iCs/>
          <w:lang w:val="en-US"/>
        </w:rPr>
        <w:t>d’offres</w:t>
      </w:r>
      <w:proofErr w:type="spellEnd"/>
      <w:r w:rsidRPr="005751A8">
        <w:rPr>
          <w:b/>
          <w:i/>
          <w:iCs/>
          <w:lang w:val="en-US"/>
        </w:rPr>
        <w:t xml:space="preserve"> N° </w:t>
      </w:r>
      <w:r>
        <w:rPr>
          <w:b/>
          <w:i/>
          <w:iCs/>
          <w:lang w:val="en-US"/>
        </w:rPr>
        <w:t>02</w:t>
      </w:r>
      <w:r w:rsidRPr="005751A8">
        <w:rPr>
          <w:b/>
          <w:i/>
          <w:iCs/>
          <w:u w:val="single"/>
          <w:lang w:val="en-US"/>
        </w:rPr>
        <w:t>/CAE/2023</w:t>
      </w:r>
    </w:p>
    <w:p w:rsidR="00AA595C" w:rsidRPr="005751A8" w:rsidRDefault="00AA595C" w:rsidP="00AA595C">
      <w:pPr>
        <w:tabs>
          <w:tab w:val="left" w:pos="4567"/>
        </w:tabs>
        <w:kinsoku w:val="0"/>
        <w:ind w:right="20"/>
        <w:jc w:val="both"/>
        <w:rPr>
          <w:b/>
          <w:lang w:val="en-US"/>
        </w:rPr>
      </w:pPr>
    </w:p>
    <w:p w:rsidR="00AA595C" w:rsidRPr="005751A8" w:rsidRDefault="00AA595C" w:rsidP="00AA595C">
      <w:pPr>
        <w:kinsoku w:val="0"/>
        <w:ind w:left="202" w:right="231"/>
        <w:jc w:val="both"/>
        <w:rPr>
          <w:lang w:val="en-US"/>
        </w:rPr>
      </w:pPr>
      <w:r w:rsidRPr="005751A8">
        <w:rPr>
          <w:i/>
          <w:iCs/>
          <w:lang w:val="en-US"/>
        </w:rPr>
        <w:t xml:space="preserve"> </w:t>
      </w:r>
    </w:p>
    <w:p w:rsidR="00AA595C" w:rsidRPr="005751A8" w:rsidRDefault="00AA595C" w:rsidP="00AA595C">
      <w:pPr>
        <w:numPr>
          <w:ilvl w:val="0"/>
          <w:numId w:val="3"/>
        </w:numPr>
        <w:spacing w:line="244" w:lineRule="auto"/>
        <w:ind w:right="-19"/>
        <w:jc w:val="both"/>
      </w:pPr>
      <w:r w:rsidRPr="00A364F0">
        <w:rPr>
          <w:spacing w:val="2"/>
        </w:rPr>
        <w:t>L</w:t>
      </w:r>
      <w:r w:rsidRPr="005751A8">
        <w:t xml:space="preserve">a Société Mauritanienne d’Electricité (SOMELEC) envisage de </w:t>
      </w:r>
      <w:r w:rsidRPr="00A364F0">
        <w:rPr>
          <w:spacing w:val="1"/>
        </w:rPr>
        <w:t>fi</w:t>
      </w:r>
      <w:r w:rsidRPr="00A364F0">
        <w:rPr>
          <w:spacing w:val="2"/>
        </w:rPr>
        <w:t>nan</w:t>
      </w:r>
      <w:r w:rsidRPr="00A364F0">
        <w:rPr>
          <w:spacing w:val="3"/>
        </w:rPr>
        <w:t>c</w:t>
      </w:r>
      <w:r w:rsidRPr="005751A8">
        <w:t xml:space="preserve">er </w:t>
      </w:r>
      <w:r w:rsidRPr="00A364F0">
        <w:rPr>
          <w:spacing w:val="49"/>
        </w:rPr>
        <w:t xml:space="preserve">dans </w:t>
      </w:r>
      <w:r w:rsidRPr="00A364F0">
        <w:rPr>
          <w:spacing w:val="1"/>
        </w:rPr>
        <w:t>l</w:t>
      </w:r>
      <w:r w:rsidRPr="005751A8">
        <w:t>e</w:t>
      </w:r>
      <w:r w:rsidRPr="00A364F0">
        <w:rPr>
          <w:spacing w:val="49"/>
        </w:rPr>
        <w:t xml:space="preserve"> </w:t>
      </w:r>
      <w:r w:rsidRPr="00A364F0">
        <w:rPr>
          <w:spacing w:val="2"/>
        </w:rPr>
        <w:t>cadr</w:t>
      </w:r>
      <w:r w:rsidRPr="005751A8">
        <w:t>e</w:t>
      </w:r>
      <w:r w:rsidRPr="00A364F0">
        <w:rPr>
          <w:spacing w:val="49"/>
        </w:rPr>
        <w:t xml:space="preserve"> </w:t>
      </w:r>
      <w:r w:rsidRPr="00A364F0">
        <w:rPr>
          <w:spacing w:val="2"/>
        </w:rPr>
        <w:t xml:space="preserve">de son propre </w:t>
      </w:r>
      <w:r w:rsidRPr="005751A8">
        <w:t>budget</w:t>
      </w:r>
      <w:r w:rsidRPr="00A364F0">
        <w:rPr>
          <w:spacing w:val="49"/>
        </w:rPr>
        <w:t xml:space="preserve"> </w:t>
      </w:r>
      <w:r w:rsidRPr="00A364F0">
        <w:rPr>
          <w:spacing w:val="2"/>
        </w:rPr>
        <w:t>de l’année</w:t>
      </w:r>
      <w:r w:rsidRPr="00A364F0">
        <w:rPr>
          <w:spacing w:val="56"/>
        </w:rPr>
        <w:t xml:space="preserve"> </w:t>
      </w:r>
      <w:r w:rsidRPr="00A364F0">
        <w:rPr>
          <w:spacing w:val="2"/>
        </w:rPr>
        <w:t>2023,</w:t>
      </w:r>
      <w:r w:rsidRPr="00A364F0">
        <w:rPr>
          <w:spacing w:val="56"/>
        </w:rPr>
        <w:t xml:space="preserve"> </w:t>
      </w:r>
      <w:r w:rsidRPr="00A364F0">
        <w:rPr>
          <w:spacing w:val="1"/>
        </w:rPr>
        <w:t>l</w:t>
      </w:r>
      <w:r w:rsidRPr="005751A8">
        <w:t>e</w:t>
      </w:r>
      <w:r w:rsidRPr="00A364F0">
        <w:rPr>
          <w:spacing w:val="56"/>
        </w:rPr>
        <w:t xml:space="preserve"> marché relatif </w:t>
      </w:r>
      <w:bookmarkStart w:id="1" w:name="_Hlk125527964"/>
      <w:r w:rsidRPr="00A364F0">
        <w:rPr>
          <w:spacing w:val="56"/>
        </w:rPr>
        <w:t xml:space="preserve">à </w:t>
      </w:r>
      <w:r w:rsidRPr="00A364F0">
        <w:rPr>
          <w:w w:val="95"/>
        </w:rPr>
        <w:t>la fourniture du matériel et l’exécution des travaux complémentaires dans le cadre de la phase pilote du marché N°14/CAE/2022 pour la réalisation d’une plateforme pilote de supervision de compteurs intelligents et acquisition de 350.000 compteurs intelligents basse tension dont une phase pilote de 15.000 compteurs</w:t>
      </w:r>
      <w:bookmarkEnd w:id="1"/>
      <w:r w:rsidRPr="00A364F0">
        <w:rPr>
          <w:b/>
        </w:rPr>
        <w:t>.</w:t>
      </w:r>
    </w:p>
    <w:p w:rsidR="00AA595C" w:rsidRPr="005751A8" w:rsidRDefault="00AA595C" w:rsidP="00AA595C">
      <w:pPr>
        <w:jc w:val="both"/>
      </w:pPr>
    </w:p>
    <w:p w:rsidR="00AA595C" w:rsidRPr="005751A8" w:rsidRDefault="00AA595C" w:rsidP="00AA595C">
      <w:pPr>
        <w:numPr>
          <w:ilvl w:val="0"/>
          <w:numId w:val="3"/>
        </w:numPr>
        <w:spacing w:line="244" w:lineRule="auto"/>
        <w:ind w:right="-19"/>
        <w:jc w:val="both"/>
      </w:pPr>
      <w:r w:rsidRPr="005751A8">
        <w:t xml:space="preserve">La SOMELEC sollicite des offres sous plis fermés de la part de candidats éligibles et répondant aux critères de qualification requis pour exécuter le marché. Le présent marché sera exécuté au fur et à mesure par l’émissions des bons de commandes qui indiqueront notamment les prestations à réaliser, </w:t>
      </w:r>
      <w:r w:rsidRPr="005751A8">
        <w:rPr>
          <w:spacing w:val="-3"/>
        </w:rPr>
        <w:t xml:space="preserve">la quantité du matériel à livrer, </w:t>
      </w:r>
      <w:r w:rsidRPr="005751A8">
        <w:t>le lieu, le délai de livraison et le prix. Le présent marché sera un marché de clientèle caractérisé par ce qui suit :</w:t>
      </w:r>
    </w:p>
    <w:p w:rsidR="00AA595C" w:rsidRPr="005751A8" w:rsidRDefault="00AA595C" w:rsidP="00AA595C">
      <w:pPr>
        <w:tabs>
          <w:tab w:val="left" w:pos="0"/>
          <w:tab w:val="left" w:pos="284"/>
        </w:tabs>
        <w:kinsoku w:val="0"/>
        <w:overflowPunct w:val="0"/>
        <w:ind w:right="26"/>
        <w:contextualSpacing/>
        <w:jc w:val="both"/>
      </w:pPr>
    </w:p>
    <w:p w:rsidR="00AA595C" w:rsidRPr="00C42701" w:rsidRDefault="00AA595C" w:rsidP="00AA595C">
      <w:pPr>
        <w:numPr>
          <w:ilvl w:val="2"/>
          <w:numId w:val="1"/>
        </w:numPr>
        <w:ind w:left="1596"/>
        <w:jc w:val="both"/>
        <w:rPr>
          <w:bCs/>
        </w:rPr>
      </w:pPr>
      <w:r w:rsidRPr="00C42701">
        <w:rPr>
          <w:bCs/>
        </w:rPr>
        <w:t xml:space="preserve">La SOMELEC s’engage pendant la période contractuelle de </w:t>
      </w:r>
      <w:r w:rsidRPr="005751A8">
        <w:rPr>
          <w:bCs/>
        </w:rPr>
        <w:t>ne réaliser</w:t>
      </w:r>
      <w:r w:rsidRPr="00C42701">
        <w:rPr>
          <w:bCs/>
        </w:rPr>
        <w:t xml:space="preserve"> les prestations et de n’acheter le matériel</w:t>
      </w:r>
      <w:r w:rsidRPr="00C42701">
        <w:rPr>
          <w:spacing w:val="3"/>
        </w:rPr>
        <w:t xml:space="preserve"> objets de ce marché qu’auprès du titulaire du marché ;</w:t>
      </w:r>
    </w:p>
    <w:p w:rsidR="00AA595C" w:rsidRPr="00C42701" w:rsidRDefault="00AA595C" w:rsidP="00AA595C">
      <w:pPr>
        <w:ind w:left="1596"/>
        <w:jc w:val="both"/>
        <w:rPr>
          <w:bCs/>
        </w:rPr>
      </w:pPr>
    </w:p>
    <w:p w:rsidR="00AA595C" w:rsidRPr="00C42701" w:rsidRDefault="00AA595C" w:rsidP="00AA595C">
      <w:pPr>
        <w:numPr>
          <w:ilvl w:val="2"/>
          <w:numId w:val="1"/>
        </w:numPr>
        <w:ind w:left="1596"/>
        <w:jc w:val="both"/>
        <w:rPr>
          <w:bCs/>
        </w:rPr>
      </w:pPr>
      <w:r w:rsidRPr="00C42701">
        <w:rPr>
          <w:bCs/>
        </w:rPr>
        <w:t>La SOMELEC ne prend aucun engagement envers le titulaire du marché vis-à-vis du minimum et du maximum de fournitures à acheter et de prestations à réaliser pendant la période contractuelle.</w:t>
      </w:r>
    </w:p>
    <w:p w:rsidR="00AA595C" w:rsidRPr="005751A8" w:rsidRDefault="00AA595C" w:rsidP="00AA595C">
      <w:pPr>
        <w:ind w:left="720"/>
        <w:jc w:val="both"/>
        <w:rPr>
          <w:bCs/>
        </w:rPr>
      </w:pPr>
    </w:p>
    <w:p w:rsidR="00AA595C" w:rsidRPr="005751A8" w:rsidRDefault="00AA595C" w:rsidP="00AA595C">
      <w:pPr>
        <w:numPr>
          <w:ilvl w:val="0"/>
          <w:numId w:val="3"/>
        </w:numPr>
        <w:spacing w:line="244" w:lineRule="auto"/>
        <w:ind w:right="-19"/>
        <w:jc w:val="both"/>
      </w:pPr>
      <w:r w:rsidRPr="005751A8">
        <w:t>Le présent Appel d'Offres est ouvert à tous les candidats remplissant les critères de qualifications suivantes :</w:t>
      </w:r>
    </w:p>
    <w:p w:rsidR="00AA595C" w:rsidRPr="005751A8" w:rsidRDefault="00AA595C" w:rsidP="00AA595C">
      <w:pPr>
        <w:tabs>
          <w:tab w:val="left" w:pos="0"/>
          <w:tab w:val="left" w:pos="284"/>
        </w:tabs>
        <w:kinsoku w:val="0"/>
        <w:overflowPunct w:val="0"/>
        <w:ind w:left="720" w:right="26"/>
        <w:contextualSpacing/>
        <w:jc w:val="both"/>
      </w:pPr>
    </w:p>
    <w:p w:rsidR="00AA595C" w:rsidRPr="00C42701" w:rsidRDefault="00AA595C" w:rsidP="00AA595C">
      <w:pPr>
        <w:tabs>
          <w:tab w:val="left" w:pos="426"/>
          <w:tab w:val="left" w:pos="820"/>
        </w:tabs>
        <w:kinsoku w:val="0"/>
        <w:ind w:left="1416" w:right="26"/>
        <w:jc w:val="both"/>
        <w:rPr>
          <w:b/>
          <w:u w:val="single"/>
        </w:rPr>
      </w:pPr>
      <w:r w:rsidRPr="00C42701">
        <w:t xml:space="preserve">a) </w:t>
      </w:r>
      <w:r w:rsidRPr="00C42701">
        <w:rPr>
          <w:b/>
          <w:u w:val="single"/>
        </w:rPr>
        <w:t xml:space="preserve">Capacité Financière : </w:t>
      </w:r>
    </w:p>
    <w:p w:rsidR="00AA595C" w:rsidRPr="00C42701" w:rsidRDefault="00AA595C" w:rsidP="00AA595C">
      <w:pPr>
        <w:tabs>
          <w:tab w:val="left" w:pos="426"/>
          <w:tab w:val="left" w:pos="820"/>
        </w:tabs>
        <w:kinsoku w:val="0"/>
        <w:ind w:left="1416" w:right="26"/>
        <w:jc w:val="both"/>
        <w:rPr>
          <w:b/>
          <w:u w:val="single"/>
        </w:rPr>
      </w:pPr>
    </w:p>
    <w:p w:rsidR="00AA595C" w:rsidRPr="00C42701" w:rsidRDefault="00AA595C" w:rsidP="00AA595C">
      <w:pPr>
        <w:numPr>
          <w:ilvl w:val="0"/>
          <w:numId w:val="2"/>
        </w:numPr>
        <w:kinsoku w:val="0"/>
        <w:overflowPunct w:val="0"/>
        <w:spacing w:line="201" w:lineRule="exact"/>
        <w:ind w:left="3192"/>
        <w:jc w:val="both"/>
        <w:rPr>
          <w:lang w:eastAsia="de-DE"/>
        </w:rPr>
      </w:pPr>
      <w:r w:rsidRPr="00C42701">
        <w:rPr>
          <w:lang w:eastAsia="de-DE"/>
        </w:rPr>
        <w:t>Le soumissionnaire doit présenter des états financiers certifiés pour les 3 dernières années. Ces états financiers doivent montrer que la situation financière du soumissionnaire est équilibrée.</w:t>
      </w:r>
    </w:p>
    <w:p w:rsidR="00AA595C" w:rsidRPr="00C42701" w:rsidRDefault="00AA595C" w:rsidP="00AA595C">
      <w:pPr>
        <w:kinsoku w:val="0"/>
        <w:overflowPunct w:val="0"/>
        <w:spacing w:line="201" w:lineRule="exact"/>
        <w:ind w:left="3192"/>
        <w:jc w:val="both"/>
        <w:rPr>
          <w:lang w:eastAsia="de-DE"/>
        </w:rPr>
      </w:pPr>
    </w:p>
    <w:p w:rsidR="00AA595C" w:rsidRPr="00C42701" w:rsidRDefault="00AA595C" w:rsidP="00AA595C">
      <w:pPr>
        <w:kinsoku w:val="0"/>
        <w:overflowPunct w:val="0"/>
        <w:spacing w:line="201" w:lineRule="exact"/>
        <w:ind w:left="1416"/>
        <w:jc w:val="both"/>
        <w:rPr>
          <w:lang w:eastAsia="de-DE"/>
        </w:rPr>
      </w:pPr>
    </w:p>
    <w:p w:rsidR="00AA595C" w:rsidRPr="00C42701" w:rsidRDefault="00AA595C" w:rsidP="00AA595C">
      <w:pPr>
        <w:kinsoku w:val="0"/>
        <w:overflowPunct w:val="0"/>
        <w:spacing w:line="201" w:lineRule="exact"/>
        <w:ind w:left="3192"/>
        <w:jc w:val="both"/>
        <w:rPr>
          <w:lang w:eastAsia="de-DE"/>
        </w:rPr>
      </w:pPr>
    </w:p>
    <w:p w:rsidR="00AA595C" w:rsidRPr="00C42701" w:rsidRDefault="00AA595C" w:rsidP="00AA595C">
      <w:pPr>
        <w:kinsoku w:val="0"/>
        <w:overflowPunct w:val="0"/>
        <w:spacing w:line="201" w:lineRule="exact"/>
        <w:ind w:left="1416"/>
        <w:jc w:val="both"/>
        <w:rPr>
          <w:lang w:eastAsia="de-DE"/>
        </w:rPr>
      </w:pPr>
      <w:r w:rsidRPr="00C42701">
        <w:rPr>
          <w:b/>
          <w:u w:val="single"/>
        </w:rPr>
        <w:t xml:space="preserve"> b) Capacité Technique :</w:t>
      </w:r>
    </w:p>
    <w:p w:rsidR="00AA595C" w:rsidRPr="00C42701" w:rsidRDefault="00AA595C" w:rsidP="00AA595C">
      <w:pPr>
        <w:kinsoku w:val="0"/>
        <w:overflowPunct w:val="0"/>
        <w:spacing w:line="201" w:lineRule="exact"/>
        <w:ind w:left="3192"/>
        <w:jc w:val="both"/>
        <w:rPr>
          <w:b/>
          <w:bCs/>
          <w:lang w:eastAsia="de-DE"/>
        </w:rPr>
      </w:pPr>
    </w:p>
    <w:p w:rsidR="00AA595C" w:rsidRPr="00C42701" w:rsidRDefault="00AA595C" w:rsidP="00AA595C">
      <w:pPr>
        <w:numPr>
          <w:ilvl w:val="0"/>
          <w:numId w:val="2"/>
        </w:numPr>
        <w:kinsoku w:val="0"/>
        <w:overflowPunct w:val="0"/>
        <w:spacing w:line="201" w:lineRule="exact"/>
        <w:ind w:left="3192"/>
        <w:jc w:val="both"/>
        <w:rPr>
          <w:lang w:eastAsia="de-DE"/>
        </w:rPr>
      </w:pPr>
      <w:r w:rsidRPr="00C42701">
        <w:rPr>
          <w:lang w:eastAsia="de-DE"/>
        </w:rPr>
        <w:t xml:space="preserve">Avoir réalisé, de façon satisfaisante, au moins deux (2) marchés similaires de prestations et de livraison au cours des cinq (5) dernières années. </w:t>
      </w:r>
      <w:r w:rsidRPr="00C42701">
        <w:rPr>
          <w:b/>
          <w:bCs/>
          <w:u w:val="single"/>
          <w:lang w:eastAsia="de-DE"/>
        </w:rPr>
        <w:t>Ne seront considérés comme similaires</w:t>
      </w:r>
      <w:r w:rsidRPr="00C42701">
        <w:rPr>
          <w:lang w:eastAsia="de-DE"/>
        </w:rPr>
        <w:t xml:space="preserve"> que les marchés qui répondent aux deux critères suivants :</w:t>
      </w:r>
    </w:p>
    <w:p w:rsidR="00AA595C" w:rsidRPr="00C42701" w:rsidRDefault="00AA595C" w:rsidP="00AA595C">
      <w:pPr>
        <w:numPr>
          <w:ilvl w:val="0"/>
          <w:numId w:val="4"/>
        </w:numPr>
        <w:kinsoku w:val="0"/>
        <w:overflowPunct w:val="0"/>
        <w:spacing w:line="201" w:lineRule="exact"/>
        <w:ind w:left="3912"/>
        <w:jc w:val="both"/>
        <w:rPr>
          <w:lang w:eastAsia="de-DE"/>
        </w:rPr>
      </w:pPr>
      <w:r w:rsidRPr="00C42701">
        <w:rPr>
          <w:b/>
          <w:bCs/>
          <w:lang w:eastAsia="de-DE"/>
        </w:rPr>
        <w:t>Nature du marché</w:t>
      </w:r>
      <w:r w:rsidRPr="00C42701">
        <w:rPr>
          <w:lang w:eastAsia="de-DE"/>
        </w:rPr>
        <w:t xml:space="preserve"> : Réalisations des prestations et/ou de fournitures de matériels </w:t>
      </w:r>
      <w:r w:rsidRPr="00C42701">
        <w:rPr>
          <w:spacing w:val="3"/>
        </w:rPr>
        <w:t>électriques ;</w:t>
      </w:r>
    </w:p>
    <w:p w:rsidR="00AA595C" w:rsidRPr="00C42701" w:rsidRDefault="00AA595C" w:rsidP="00AA595C">
      <w:pPr>
        <w:numPr>
          <w:ilvl w:val="0"/>
          <w:numId w:val="4"/>
        </w:numPr>
        <w:kinsoku w:val="0"/>
        <w:overflowPunct w:val="0"/>
        <w:spacing w:line="201" w:lineRule="exact"/>
        <w:ind w:left="3912"/>
        <w:jc w:val="both"/>
        <w:rPr>
          <w:lang w:eastAsia="de-DE"/>
        </w:rPr>
      </w:pPr>
      <w:r w:rsidRPr="00C42701">
        <w:rPr>
          <w:b/>
          <w:bCs/>
          <w:lang w:eastAsia="de-DE"/>
        </w:rPr>
        <w:t>Montant du marché</w:t>
      </w:r>
      <w:r w:rsidRPr="00C42701">
        <w:rPr>
          <w:lang w:eastAsia="de-DE"/>
        </w:rPr>
        <w:t> : supérieur ou égal à 10.000.000 MRU ou équivalent</w:t>
      </w:r>
      <w:r w:rsidRPr="005751A8">
        <w:rPr>
          <w:lang w:eastAsia="de-DE"/>
        </w:rPr>
        <w:t>.</w:t>
      </w:r>
    </w:p>
    <w:p w:rsidR="00AA595C" w:rsidRPr="00C42701" w:rsidRDefault="00AA595C" w:rsidP="00AA595C">
      <w:pPr>
        <w:kinsoku w:val="0"/>
        <w:overflowPunct w:val="0"/>
        <w:spacing w:line="201" w:lineRule="exact"/>
        <w:ind w:left="3192"/>
        <w:jc w:val="both"/>
        <w:rPr>
          <w:lang w:eastAsia="de-DE"/>
        </w:rPr>
      </w:pPr>
      <w:r w:rsidRPr="00C42701">
        <w:rPr>
          <w:lang w:eastAsia="de-DE"/>
        </w:rPr>
        <w:t xml:space="preserve"> </w:t>
      </w:r>
    </w:p>
    <w:p w:rsidR="00AA595C" w:rsidRPr="00C42701" w:rsidRDefault="00AA595C" w:rsidP="00AA595C">
      <w:pPr>
        <w:kinsoku w:val="0"/>
        <w:overflowPunct w:val="0"/>
        <w:spacing w:line="201" w:lineRule="exact"/>
        <w:ind w:left="3192"/>
        <w:jc w:val="both"/>
        <w:rPr>
          <w:lang w:eastAsia="de-DE"/>
        </w:rPr>
      </w:pPr>
      <w:r w:rsidRPr="00C42701">
        <w:rPr>
          <w:lang w:eastAsia="de-DE"/>
        </w:rPr>
        <w:t xml:space="preserve">Ne seront pris en compte lors de l’évaluation des offres que les marchés similaires pour lesquelles le Soumissionnaire a fourni des attestations de bonne fin établies par les bénéficiaires desdits marchés similaires. Ces attestations doivent mentionner le nom, l’adresse du client, l’intitulé du marché, un descriptif succinct des fournitures livrés, son montant, le lieu et date de fourniture du matériel et/ou des prestations exécutées, et toute autre information susceptible de confirmer la réalisation en bonne et due forme de la </w:t>
      </w:r>
      <w:r w:rsidRPr="00C42701">
        <w:rPr>
          <w:lang w:eastAsia="de-DE"/>
        </w:rPr>
        <w:lastRenderedPageBreak/>
        <w:t>prestation.</w:t>
      </w:r>
    </w:p>
    <w:p w:rsidR="00AA595C" w:rsidRPr="005751A8" w:rsidRDefault="00AA595C" w:rsidP="00AA595C">
      <w:pPr>
        <w:kinsoku w:val="0"/>
        <w:overflowPunct w:val="0"/>
        <w:spacing w:line="201" w:lineRule="exact"/>
        <w:jc w:val="both"/>
        <w:rPr>
          <w:i/>
          <w:lang w:eastAsia="de-DE"/>
        </w:rPr>
      </w:pPr>
    </w:p>
    <w:p w:rsidR="00AA595C" w:rsidRPr="00A364F0" w:rsidRDefault="00AA595C" w:rsidP="00AA595C">
      <w:pPr>
        <w:numPr>
          <w:ilvl w:val="0"/>
          <w:numId w:val="3"/>
        </w:numPr>
        <w:spacing w:after="120" w:line="244" w:lineRule="auto"/>
        <w:ind w:right="-19"/>
        <w:jc w:val="both"/>
        <w:rPr>
          <w:b/>
          <w:bCs/>
        </w:rPr>
      </w:pPr>
      <w:r w:rsidRPr="005751A8">
        <w:t>Les candidats intéressés peuvent obtenir les informations auprès de la cellule des marchés et prendre connaissances du dossier d’appel d’offre et éventuellement obtenir une copie du dossier à l’adresse ci-après de 8 heures à 17 heures, les jours ouvrables, à l’adresse :</w:t>
      </w:r>
    </w:p>
    <w:p w:rsidR="00AA595C" w:rsidRPr="005751A8" w:rsidRDefault="00AA595C" w:rsidP="00AA595C">
      <w:pPr>
        <w:spacing w:after="120"/>
        <w:jc w:val="both"/>
        <w:rPr>
          <w:b/>
          <w:bCs/>
        </w:rPr>
      </w:pPr>
      <w:r>
        <w:rPr>
          <w:b/>
          <w:bCs/>
        </w:rPr>
        <w:t>Siege de la</w:t>
      </w:r>
      <w:r w:rsidRPr="005751A8">
        <w:rPr>
          <w:b/>
          <w:bCs/>
        </w:rPr>
        <w:t xml:space="preserve"> SOMELEC</w:t>
      </w:r>
    </w:p>
    <w:p w:rsidR="00AA595C" w:rsidRPr="005751A8" w:rsidRDefault="00AA595C" w:rsidP="00AA595C">
      <w:pPr>
        <w:spacing w:after="120"/>
        <w:jc w:val="both"/>
        <w:rPr>
          <w:b/>
          <w:bCs/>
        </w:rPr>
      </w:pPr>
      <w:r w:rsidRPr="005751A8">
        <w:rPr>
          <w:b/>
          <w:bCs/>
        </w:rPr>
        <w:t xml:space="preserve">Avenue Boubacar </w:t>
      </w:r>
      <w:proofErr w:type="gramStart"/>
      <w:r w:rsidRPr="005751A8">
        <w:rPr>
          <w:b/>
          <w:bCs/>
        </w:rPr>
        <w:t>Ben  Amer</w:t>
      </w:r>
      <w:proofErr w:type="gramEnd"/>
      <w:r w:rsidRPr="005751A8">
        <w:rPr>
          <w:b/>
          <w:bCs/>
        </w:rPr>
        <w:t>, BP : 355, 4eme étage.</w:t>
      </w:r>
    </w:p>
    <w:p w:rsidR="00AA595C" w:rsidRPr="005751A8" w:rsidRDefault="00AA595C" w:rsidP="00AA595C">
      <w:pPr>
        <w:spacing w:after="120"/>
        <w:jc w:val="both"/>
        <w:rPr>
          <w:b/>
          <w:bCs/>
        </w:rPr>
      </w:pPr>
      <w:r w:rsidRPr="005751A8">
        <w:rPr>
          <w:b/>
          <w:bCs/>
        </w:rPr>
        <w:t xml:space="preserve">Tel. +222 45 25 67 83, Email : </w:t>
      </w:r>
      <w:hyperlink r:id="rId7" w:history="1">
        <w:r w:rsidRPr="005751A8">
          <w:rPr>
            <w:b/>
            <w:bCs/>
            <w:color w:val="0000FF"/>
            <w:u w:val="single"/>
          </w:rPr>
          <w:t>cmsomelec@gmail.com</w:t>
        </w:r>
      </w:hyperlink>
    </w:p>
    <w:p w:rsidR="00AA595C" w:rsidRPr="005751A8" w:rsidRDefault="00AA595C" w:rsidP="00AA595C">
      <w:pPr>
        <w:spacing w:after="120"/>
        <w:jc w:val="both"/>
        <w:rPr>
          <w:b/>
          <w:bCs/>
        </w:rPr>
      </w:pPr>
      <w:r w:rsidRPr="005751A8">
        <w:rPr>
          <w:b/>
          <w:bCs/>
        </w:rPr>
        <w:t>Nouakchott, Mauritanie</w:t>
      </w:r>
    </w:p>
    <w:p w:rsidR="00AA595C" w:rsidRPr="005751A8" w:rsidRDefault="00AA595C" w:rsidP="00AA595C">
      <w:pPr>
        <w:tabs>
          <w:tab w:val="left" w:pos="0"/>
          <w:tab w:val="left" w:pos="284"/>
        </w:tabs>
        <w:kinsoku w:val="0"/>
        <w:overflowPunct w:val="0"/>
        <w:ind w:left="720" w:right="26"/>
        <w:contextualSpacing/>
        <w:jc w:val="both"/>
      </w:pPr>
      <w:proofErr w:type="gramStart"/>
      <w:r w:rsidRPr="005751A8">
        <w:t>à</w:t>
      </w:r>
      <w:proofErr w:type="gramEnd"/>
      <w:r w:rsidRPr="005751A8">
        <w:t xml:space="preserve"> compter du</w:t>
      </w:r>
      <w:r>
        <w:t xml:space="preserve"> 30/01/2023</w:t>
      </w:r>
      <w:r w:rsidRPr="005751A8">
        <w:t xml:space="preserve"> contre un paiement non remboursable de 10 000 MRU. Le mode de paiement du DAO sera effectué par virement dans l’un des comptes de la SOMELEC ouverts dans l’une des banques nationales.</w:t>
      </w:r>
    </w:p>
    <w:p w:rsidR="00AA595C" w:rsidRPr="005751A8" w:rsidRDefault="00AA595C" w:rsidP="00AA595C">
      <w:pPr>
        <w:tabs>
          <w:tab w:val="left" w:pos="0"/>
          <w:tab w:val="left" w:pos="284"/>
        </w:tabs>
        <w:kinsoku w:val="0"/>
        <w:overflowPunct w:val="0"/>
        <w:ind w:left="720" w:right="26"/>
        <w:contextualSpacing/>
        <w:jc w:val="both"/>
      </w:pPr>
    </w:p>
    <w:p w:rsidR="00AA595C" w:rsidRPr="005751A8" w:rsidRDefault="00AA595C" w:rsidP="00AA595C">
      <w:pPr>
        <w:numPr>
          <w:ilvl w:val="0"/>
          <w:numId w:val="3"/>
        </w:numPr>
        <w:spacing w:line="244" w:lineRule="auto"/>
        <w:ind w:right="-19"/>
        <w:jc w:val="both"/>
      </w:pPr>
      <w:r w:rsidRPr="005751A8">
        <w:t xml:space="preserve">Les offres devront être rédigées en langue française et devront être déposées à l’adresse indiquée ci-dessus au plus </w:t>
      </w:r>
      <w:r w:rsidRPr="00A364F0">
        <w:t xml:space="preserve">tard le </w:t>
      </w:r>
      <w:r w:rsidRPr="00A364F0">
        <w:rPr>
          <w:b/>
        </w:rPr>
        <w:t>01/03/2023 à 12H00</w:t>
      </w:r>
      <w:r w:rsidRPr="005751A8">
        <w:t xml:space="preserve"> heure locale. Les offres qui ne parviendront pas aux heure et date ci-dessus indiquées, seront purement et simplement rejetées et retournées aux frais des soumissionnaires concernés sans être ouvertes.</w:t>
      </w:r>
    </w:p>
    <w:p w:rsidR="00AA595C" w:rsidRPr="005751A8" w:rsidRDefault="00AA595C" w:rsidP="00AA595C">
      <w:pPr>
        <w:tabs>
          <w:tab w:val="left" w:pos="0"/>
          <w:tab w:val="left" w:pos="284"/>
        </w:tabs>
        <w:kinsoku w:val="0"/>
        <w:overflowPunct w:val="0"/>
        <w:ind w:left="720" w:right="26"/>
        <w:contextualSpacing/>
        <w:jc w:val="both"/>
      </w:pPr>
    </w:p>
    <w:p w:rsidR="00AA595C" w:rsidRPr="005751A8" w:rsidRDefault="00AA595C" w:rsidP="00AA595C">
      <w:pPr>
        <w:numPr>
          <w:ilvl w:val="0"/>
          <w:numId w:val="1"/>
        </w:numPr>
        <w:tabs>
          <w:tab w:val="left" w:pos="0"/>
          <w:tab w:val="left" w:pos="284"/>
        </w:tabs>
        <w:kinsoku w:val="0"/>
        <w:overflowPunct w:val="0"/>
        <w:ind w:right="26"/>
        <w:contextualSpacing/>
        <w:jc w:val="both"/>
        <w:rPr>
          <w:lang w:eastAsia="de-DE"/>
        </w:rPr>
      </w:pPr>
      <w:r w:rsidRPr="005751A8">
        <w:t>Les offres seront ouvertes, en présence des représentants des Soumissionnaires    qui    désirent</w:t>
      </w:r>
      <w:r w:rsidRPr="005751A8">
        <w:rPr>
          <w:lang w:eastAsia="de-DE"/>
        </w:rPr>
        <w:t xml:space="preserve">    assister    à    l’ouverture    des    plis </w:t>
      </w:r>
      <w:r w:rsidRPr="00A364F0">
        <w:rPr>
          <w:b/>
        </w:rPr>
        <w:t>le 01/03/2023</w:t>
      </w:r>
      <w:r w:rsidRPr="005751A8">
        <w:rPr>
          <w:b/>
        </w:rPr>
        <w:t xml:space="preserve"> à 12H00 heure locale </w:t>
      </w:r>
      <w:r>
        <w:rPr>
          <w:lang w:eastAsia="de-DE"/>
        </w:rPr>
        <w:t>à</w:t>
      </w:r>
      <w:r w:rsidRPr="005751A8">
        <w:rPr>
          <w:lang w:eastAsia="de-DE"/>
        </w:rPr>
        <w:t xml:space="preserve"> :</w:t>
      </w:r>
    </w:p>
    <w:p w:rsidR="00AA595C" w:rsidRPr="005751A8" w:rsidRDefault="00AA595C" w:rsidP="00AA595C">
      <w:pPr>
        <w:spacing w:after="120"/>
        <w:ind w:left="2124"/>
        <w:jc w:val="both"/>
      </w:pPr>
      <w:r>
        <w:rPr>
          <w:b/>
        </w:rPr>
        <w:t xml:space="preserve">La </w:t>
      </w:r>
      <w:r w:rsidRPr="005751A8">
        <w:rPr>
          <w:b/>
        </w:rPr>
        <w:t>Direction Générale de la SOMELEC</w:t>
      </w:r>
      <w:r w:rsidRPr="005751A8">
        <w:t xml:space="preserve"> </w:t>
      </w:r>
    </w:p>
    <w:p w:rsidR="00AA595C" w:rsidRPr="005751A8" w:rsidRDefault="00AA595C" w:rsidP="00AA595C">
      <w:pPr>
        <w:spacing w:after="120"/>
        <w:ind w:left="2124"/>
        <w:jc w:val="both"/>
        <w:rPr>
          <w:b/>
          <w:bCs/>
        </w:rPr>
      </w:pPr>
      <w:r w:rsidRPr="005751A8">
        <w:rPr>
          <w:b/>
          <w:bCs/>
        </w:rPr>
        <w:t xml:space="preserve">Salle de réunion du 2 </w:t>
      </w:r>
      <w:proofErr w:type="spellStart"/>
      <w:r w:rsidRPr="005751A8">
        <w:rPr>
          <w:b/>
          <w:bCs/>
        </w:rPr>
        <w:t>eme</w:t>
      </w:r>
      <w:proofErr w:type="spellEnd"/>
      <w:r w:rsidRPr="005751A8">
        <w:rPr>
          <w:b/>
          <w:bCs/>
        </w:rPr>
        <w:t xml:space="preserve"> étage.</w:t>
      </w:r>
    </w:p>
    <w:p w:rsidR="00AA595C" w:rsidRPr="005751A8" w:rsidRDefault="00AA595C" w:rsidP="00AA595C">
      <w:pPr>
        <w:spacing w:after="120"/>
        <w:ind w:left="2124"/>
        <w:jc w:val="both"/>
        <w:rPr>
          <w:b/>
          <w:bCs/>
        </w:rPr>
      </w:pPr>
      <w:r w:rsidRPr="005751A8">
        <w:rPr>
          <w:b/>
          <w:bCs/>
        </w:rPr>
        <w:t xml:space="preserve">Avenue Boubacar Ben Amer  </w:t>
      </w:r>
    </w:p>
    <w:p w:rsidR="00AA595C" w:rsidRPr="005751A8" w:rsidRDefault="00AA595C" w:rsidP="00AA595C">
      <w:pPr>
        <w:spacing w:after="120"/>
        <w:ind w:left="2124"/>
        <w:jc w:val="both"/>
      </w:pPr>
      <w:r w:rsidRPr="005751A8">
        <w:rPr>
          <w:b/>
          <w:bCs/>
        </w:rPr>
        <w:t>BP 355 Nouakchott - R.I de Mauritanie</w:t>
      </w:r>
    </w:p>
    <w:p w:rsidR="00AA595C" w:rsidRPr="005751A8" w:rsidRDefault="00AA595C" w:rsidP="00AA595C">
      <w:pPr>
        <w:numPr>
          <w:ilvl w:val="0"/>
          <w:numId w:val="1"/>
        </w:numPr>
        <w:tabs>
          <w:tab w:val="left" w:pos="0"/>
          <w:tab w:val="left" w:pos="284"/>
        </w:tabs>
        <w:kinsoku w:val="0"/>
        <w:overflowPunct w:val="0"/>
        <w:ind w:right="26"/>
        <w:contextualSpacing/>
        <w:jc w:val="both"/>
      </w:pPr>
      <w:r w:rsidRPr="005751A8">
        <w:t>Les Offres sous plis fermés et anonymes doivent comprendre une garantie de soumission, émise ou validée par une banque établie en République Islamique de Mauritanie. Le montant de cette garantie doit être de 300 000 MRU.</w:t>
      </w:r>
    </w:p>
    <w:p w:rsidR="00AA595C" w:rsidRPr="005751A8" w:rsidRDefault="00AA595C" w:rsidP="00AA595C">
      <w:pPr>
        <w:tabs>
          <w:tab w:val="left" w:pos="426"/>
          <w:tab w:val="left" w:pos="820"/>
        </w:tabs>
        <w:kinsoku w:val="0"/>
        <w:ind w:right="26"/>
        <w:jc w:val="both"/>
        <w:rPr>
          <w:lang w:eastAsia="de-DE"/>
        </w:rPr>
      </w:pPr>
    </w:p>
    <w:p w:rsidR="00AA595C" w:rsidRPr="005751A8" w:rsidRDefault="00AA595C" w:rsidP="00AA595C">
      <w:pPr>
        <w:numPr>
          <w:ilvl w:val="0"/>
          <w:numId w:val="1"/>
        </w:numPr>
        <w:tabs>
          <w:tab w:val="left" w:pos="0"/>
          <w:tab w:val="left" w:pos="284"/>
        </w:tabs>
        <w:kinsoku w:val="0"/>
        <w:overflowPunct w:val="0"/>
        <w:ind w:right="26"/>
        <w:contextualSpacing/>
        <w:jc w:val="both"/>
      </w:pPr>
      <w:r w:rsidRPr="005751A8">
        <w:t xml:space="preserve">La validité de cette garantie doit être de 120 jours à compter de la date d’ouverture des Offres. Les offres doivent porter la mention : « Appel d’Offres pour </w:t>
      </w:r>
      <w:r w:rsidRPr="005751A8">
        <w:rPr>
          <w:w w:val="95"/>
        </w:rPr>
        <w:t>la fourniture du matériel et l’exécution des travaux complémentaires dans le cadre de la phase pilote du marché N°14/CAE/2022 pour la réalisation d’une plateforme pilote de supervision de compteurs intelligents et acquisition de 350.000 compteurs intelligents basse tension dont une phase pilote de 15.000 compteurs</w:t>
      </w:r>
      <w:r w:rsidRPr="005751A8">
        <w:t xml:space="preserve"> »</w:t>
      </w:r>
    </w:p>
    <w:p w:rsidR="00AA595C" w:rsidRPr="005751A8" w:rsidRDefault="00AA595C" w:rsidP="00AA595C">
      <w:pPr>
        <w:jc w:val="both"/>
        <w:rPr>
          <w:b/>
          <w:bCs/>
        </w:rPr>
      </w:pPr>
    </w:p>
    <w:p w:rsidR="00AA595C" w:rsidRPr="005751A8" w:rsidRDefault="00AA595C" w:rsidP="00AA595C">
      <w:pPr>
        <w:numPr>
          <w:ilvl w:val="0"/>
          <w:numId w:val="1"/>
        </w:numPr>
        <w:tabs>
          <w:tab w:val="left" w:pos="0"/>
          <w:tab w:val="left" w:pos="284"/>
        </w:tabs>
        <w:kinsoku w:val="0"/>
        <w:overflowPunct w:val="0"/>
        <w:ind w:right="26"/>
        <w:contextualSpacing/>
        <w:jc w:val="both"/>
      </w:pPr>
      <w:r w:rsidRPr="005751A8">
        <w:t>Les offres devront demeurer valides pendant une durée de 90 jours à compter de la date limite de dépôt des offres.</w:t>
      </w:r>
    </w:p>
    <w:p w:rsidR="00AA595C" w:rsidRPr="005751A8" w:rsidRDefault="00AA595C" w:rsidP="00AA595C">
      <w:pPr>
        <w:jc w:val="both"/>
        <w:rPr>
          <w:b/>
          <w:bCs/>
        </w:rPr>
      </w:pPr>
    </w:p>
    <w:p w:rsidR="00AA595C" w:rsidRPr="005751A8" w:rsidRDefault="00AA595C" w:rsidP="00AA595C">
      <w:pPr>
        <w:jc w:val="center"/>
        <w:rPr>
          <w:b/>
          <w:bCs/>
        </w:rPr>
      </w:pPr>
      <w:r w:rsidRPr="005751A8">
        <w:rPr>
          <w:b/>
          <w:bCs/>
        </w:rPr>
        <w:t xml:space="preserve">Le président de la commission des </w:t>
      </w:r>
      <w:r>
        <w:rPr>
          <w:b/>
          <w:bCs/>
        </w:rPr>
        <w:t>A</w:t>
      </w:r>
      <w:r w:rsidRPr="005751A8">
        <w:rPr>
          <w:b/>
          <w:bCs/>
        </w:rPr>
        <w:t>chats d’</w:t>
      </w:r>
      <w:r>
        <w:rPr>
          <w:b/>
          <w:bCs/>
        </w:rPr>
        <w:t>E</w:t>
      </w:r>
      <w:r w:rsidRPr="005751A8">
        <w:rPr>
          <w:b/>
          <w:bCs/>
        </w:rPr>
        <w:t>xploitation</w:t>
      </w:r>
    </w:p>
    <w:p w:rsidR="00AA595C" w:rsidRDefault="00AA595C" w:rsidP="00AA595C">
      <w:pPr>
        <w:jc w:val="center"/>
        <w:rPr>
          <w:b/>
          <w:bCs/>
          <w:sz w:val="28"/>
          <w:szCs w:val="28"/>
        </w:rPr>
      </w:pPr>
      <w:r w:rsidRPr="005751A8">
        <w:rPr>
          <w:b/>
          <w:bCs/>
        </w:rPr>
        <w:t xml:space="preserve">Cheikh </w:t>
      </w:r>
      <w:proofErr w:type="spellStart"/>
      <w:r w:rsidRPr="005751A8">
        <w:rPr>
          <w:b/>
          <w:bCs/>
        </w:rPr>
        <w:t>Abdellahi</w:t>
      </w:r>
      <w:proofErr w:type="spellEnd"/>
      <w:r w:rsidRPr="005751A8">
        <w:rPr>
          <w:b/>
          <w:bCs/>
        </w:rPr>
        <w:t xml:space="preserve"> </w:t>
      </w:r>
      <w:proofErr w:type="spellStart"/>
      <w:r w:rsidRPr="005751A8">
        <w:rPr>
          <w:b/>
          <w:bCs/>
        </w:rPr>
        <w:t>Bedda</w:t>
      </w:r>
      <w:proofErr w:type="spellEnd"/>
    </w:p>
    <w:p w:rsidR="00CE4719" w:rsidRDefault="00CE4719"/>
    <w:sectPr w:rsidR="00CE4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0D3"/>
    <w:multiLevelType w:val="hybridMultilevel"/>
    <w:tmpl w:val="5A04D4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Times New Roman"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Times New Roman"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Times New Roman" w:hint="default"/>
      </w:rPr>
    </w:lvl>
    <w:lvl w:ilvl="8" w:tplc="040C0005">
      <w:start w:val="1"/>
      <w:numFmt w:val="bullet"/>
      <w:lvlText w:val=""/>
      <w:lvlJc w:val="left"/>
      <w:pPr>
        <w:ind w:left="7536" w:hanging="360"/>
      </w:pPr>
      <w:rPr>
        <w:rFonts w:ascii="Wingdings" w:hAnsi="Wingdings" w:hint="default"/>
      </w:rPr>
    </w:lvl>
  </w:abstractNum>
  <w:abstractNum w:abstractNumId="1" w15:restartNumberingAfterBreak="0">
    <w:nsid w:val="13D21CF9"/>
    <w:multiLevelType w:val="hybridMultilevel"/>
    <w:tmpl w:val="FA4265D6"/>
    <w:lvl w:ilvl="0" w:tplc="18329438">
      <w:start w:val="3"/>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605"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3CF7C02"/>
    <w:multiLevelType w:val="hybridMultilevel"/>
    <w:tmpl w:val="BBCAA902"/>
    <w:lvl w:ilvl="0" w:tplc="78F4B7B2">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D12DC9"/>
    <w:multiLevelType w:val="hybridMultilevel"/>
    <w:tmpl w:val="6A70A3A4"/>
    <w:lvl w:ilvl="0" w:tplc="2000000B">
      <w:start w:val="1"/>
      <w:numFmt w:val="bullet"/>
      <w:lvlText w:val=""/>
      <w:lvlJc w:val="left"/>
      <w:pPr>
        <w:ind w:left="2496" w:hanging="360"/>
      </w:pPr>
      <w:rPr>
        <w:rFonts w:ascii="Wingdings" w:hAnsi="Wingdings" w:hint="default"/>
      </w:rPr>
    </w:lvl>
    <w:lvl w:ilvl="1" w:tplc="20000003" w:tentative="1">
      <w:start w:val="1"/>
      <w:numFmt w:val="bullet"/>
      <w:lvlText w:val="o"/>
      <w:lvlJc w:val="left"/>
      <w:pPr>
        <w:ind w:left="3216" w:hanging="360"/>
      </w:pPr>
      <w:rPr>
        <w:rFonts w:ascii="Courier New" w:hAnsi="Courier New" w:cs="Courier New" w:hint="default"/>
      </w:rPr>
    </w:lvl>
    <w:lvl w:ilvl="2" w:tplc="20000005" w:tentative="1">
      <w:start w:val="1"/>
      <w:numFmt w:val="bullet"/>
      <w:lvlText w:val=""/>
      <w:lvlJc w:val="left"/>
      <w:pPr>
        <w:ind w:left="3936" w:hanging="360"/>
      </w:pPr>
      <w:rPr>
        <w:rFonts w:ascii="Wingdings" w:hAnsi="Wingdings" w:hint="default"/>
      </w:rPr>
    </w:lvl>
    <w:lvl w:ilvl="3" w:tplc="20000001" w:tentative="1">
      <w:start w:val="1"/>
      <w:numFmt w:val="bullet"/>
      <w:lvlText w:val=""/>
      <w:lvlJc w:val="left"/>
      <w:pPr>
        <w:ind w:left="4656" w:hanging="360"/>
      </w:pPr>
      <w:rPr>
        <w:rFonts w:ascii="Symbol" w:hAnsi="Symbol" w:hint="default"/>
      </w:rPr>
    </w:lvl>
    <w:lvl w:ilvl="4" w:tplc="20000003" w:tentative="1">
      <w:start w:val="1"/>
      <w:numFmt w:val="bullet"/>
      <w:lvlText w:val="o"/>
      <w:lvlJc w:val="left"/>
      <w:pPr>
        <w:ind w:left="5376" w:hanging="360"/>
      </w:pPr>
      <w:rPr>
        <w:rFonts w:ascii="Courier New" w:hAnsi="Courier New" w:cs="Courier New" w:hint="default"/>
      </w:rPr>
    </w:lvl>
    <w:lvl w:ilvl="5" w:tplc="20000005" w:tentative="1">
      <w:start w:val="1"/>
      <w:numFmt w:val="bullet"/>
      <w:lvlText w:val=""/>
      <w:lvlJc w:val="left"/>
      <w:pPr>
        <w:ind w:left="6096" w:hanging="360"/>
      </w:pPr>
      <w:rPr>
        <w:rFonts w:ascii="Wingdings" w:hAnsi="Wingdings" w:hint="default"/>
      </w:rPr>
    </w:lvl>
    <w:lvl w:ilvl="6" w:tplc="20000001" w:tentative="1">
      <w:start w:val="1"/>
      <w:numFmt w:val="bullet"/>
      <w:lvlText w:val=""/>
      <w:lvlJc w:val="left"/>
      <w:pPr>
        <w:ind w:left="6816" w:hanging="360"/>
      </w:pPr>
      <w:rPr>
        <w:rFonts w:ascii="Symbol" w:hAnsi="Symbol" w:hint="default"/>
      </w:rPr>
    </w:lvl>
    <w:lvl w:ilvl="7" w:tplc="20000003" w:tentative="1">
      <w:start w:val="1"/>
      <w:numFmt w:val="bullet"/>
      <w:lvlText w:val="o"/>
      <w:lvlJc w:val="left"/>
      <w:pPr>
        <w:ind w:left="7536" w:hanging="360"/>
      </w:pPr>
      <w:rPr>
        <w:rFonts w:ascii="Courier New" w:hAnsi="Courier New" w:cs="Courier New" w:hint="default"/>
      </w:rPr>
    </w:lvl>
    <w:lvl w:ilvl="8" w:tplc="20000005" w:tentative="1">
      <w:start w:val="1"/>
      <w:numFmt w:val="bullet"/>
      <w:lvlText w:val=""/>
      <w:lvlJc w:val="left"/>
      <w:pPr>
        <w:ind w:left="8256" w:hanging="360"/>
      </w:pPr>
      <w:rPr>
        <w:rFonts w:ascii="Wingdings" w:hAnsi="Wingdings" w:hint="default"/>
      </w:rPr>
    </w:lvl>
  </w:abstractNum>
  <w:num w:numId="1" w16cid:durableId="4063485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627294">
    <w:abstractNumId w:val="0"/>
  </w:num>
  <w:num w:numId="3" w16cid:durableId="1801874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4332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5C"/>
    <w:rsid w:val="005730CB"/>
    <w:rsid w:val="00AA595C"/>
    <w:rsid w:val="00CE4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7424-E0E0-4DB1-89FB-922BED43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595C"/>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A595C"/>
    <w:pPr>
      <w:ind w:left="140"/>
    </w:pPr>
  </w:style>
  <w:style w:type="character" w:customStyle="1" w:styleId="CorpsdetexteCar">
    <w:name w:val="Corps de texte Car"/>
    <w:basedOn w:val="Policepardfaut"/>
    <w:link w:val="Corpsdetexte"/>
    <w:uiPriority w:val="1"/>
    <w:rsid w:val="00AA595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59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95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somel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4737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cp:lastPrinted>2023-01-25T09:01:00Z</cp:lastPrinted>
  <dcterms:created xsi:type="dcterms:W3CDTF">2023-01-25T19:57:00Z</dcterms:created>
  <dcterms:modified xsi:type="dcterms:W3CDTF">2023-01-25T19:57:00Z</dcterms:modified>
</cp:coreProperties>
</file>